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74D7F" w14:textId="01604CF0" w:rsidR="00703550" w:rsidRDefault="004373BF" w:rsidP="009E2B33">
      <w:pPr>
        <w:jc w:val="both"/>
        <w:rPr>
          <w:rFonts w:ascii="Times New Roman" w:hAnsi="Times New Roman" w:cs="Times New Roman"/>
          <w:bCs/>
          <w:i/>
          <w:color w:val="FF0000"/>
          <w:sz w:val="24"/>
          <w:szCs w:val="24"/>
        </w:rPr>
      </w:pPr>
      <w:r w:rsidRPr="00FE5D05">
        <w:rPr>
          <w:rFonts w:ascii="Times New Roman" w:hAnsi="Times New Roman" w:cs="Times New Roman"/>
          <w:bCs/>
          <w:i/>
          <w:color w:val="FF0000"/>
          <w:sz w:val="24"/>
          <w:szCs w:val="24"/>
        </w:rPr>
        <w:t xml:space="preserve">INSTRUCTIONS: You may use this file as a template by replacing images, numbers, data, formulas, etc. with information relevant to your firm. </w:t>
      </w:r>
      <w:r w:rsidR="00255037">
        <w:rPr>
          <w:rFonts w:ascii="Times New Roman" w:hAnsi="Times New Roman" w:cs="Times New Roman"/>
          <w:bCs/>
          <w:i/>
          <w:color w:val="FF0000"/>
          <w:sz w:val="24"/>
          <w:szCs w:val="24"/>
        </w:rPr>
        <w:t>This is only a sample, and you are free (and encouraged!) to make changes as you see fit in the overall style, so long as you remain organized.</w:t>
      </w:r>
    </w:p>
    <w:p w14:paraId="274CFD2B" w14:textId="1522F051" w:rsidR="000D3602" w:rsidRDefault="000D3602" w:rsidP="009E2B33">
      <w:pPr>
        <w:jc w:val="both"/>
        <w:rPr>
          <w:rFonts w:ascii="Times New Roman" w:hAnsi="Times New Roman" w:cs="Times New Roman"/>
          <w:bCs/>
          <w:i/>
          <w:color w:val="FF0000"/>
          <w:sz w:val="24"/>
          <w:szCs w:val="24"/>
        </w:rPr>
      </w:pPr>
      <w:r>
        <w:rPr>
          <w:rFonts w:ascii="Times New Roman" w:hAnsi="Times New Roman" w:cs="Times New Roman"/>
          <w:bCs/>
          <w:i/>
          <w:color w:val="FF0000"/>
          <w:sz w:val="24"/>
          <w:szCs w:val="24"/>
        </w:rPr>
        <w:t>MAX 15 pages. No minimum.</w:t>
      </w:r>
    </w:p>
    <w:p w14:paraId="070D5DDC" w14:textId="25EFD8F5" w:rsidR="004373BF" w:rsidRDefault="004373BF" w:rsidP="009E2B33">
      <w:pPr>
        <w:jc w:val="both"/>
        <w:rPr>
          <w:rFonts w:ascii="Times New Roman" w:hAnsi="Times New Roman" w:cs="Times New Roman"/>
          <w:bCs/>
          <w:i/>
          <w:color w:val="FF0000"/>
          <w:sz w:val="24"/>
          <w:szCs w:val="24"/>
        </w:rPr>
      </w:pPr>
      <w:r w:rsidRPr="00FE5D05">
        <w:rPr>
          <w:rFonts w:ascii="Times New Roman" w:hAnsi="Times New Roman" w:cs="Times New Roman"/>
          <w:bCs/>
          <w:i/>
          <w:color w:val="FF0000"/>
          <w:sz w:val="24"/>
          <w:szCs w:val="24"/>
        </w:rPr>
        <w:t>DELETE these red</w:t>
      </w:r>
      <w:r w:rsidR="00E206B9">
        <w:rPr>
          <w:rFonts w:ascii="Times New Roman" w:hAnsi="Times New Roman" w:cs="Times New Roman"/>
          <w:bCs/>
          <w:i/>
          <w:color w:val="FF0000"/>
          <w:sz w:val="24"/>
          <w:szCs w:val="24"/>
        </w:rPr>
        <w:t>-text</w:t>
      </w:r>
      <w:r w:rsidRPr="00FE5D05">
        <w:rPr>
          <w:rFonts w:ascii="Times New Roman" w:hAnsi="Times New Roman" w:cs="Times New Roman"/>
          <w:bCs/>
          <w:i/>
          <w:color w:val="FF0000"/>
          <w:sz w:val="24"/>
          <w:szCs w:val="24"/>
        </w:rPr>
        <w:t xml:space="preserve"> instructions before you turn in your file.</w:t>
      </w:r>
    </w:p>
    <w:p w14:paraId="7B114E3C" w14:textId="3C491EAF" w:rsidR="00231F88" w:rsidRPr="00231F88" w:rsidRDefault="00231F88" w:rsidP="009E2B33">
      <w:pPr>
        <w:jc w:val="both"/>
        <w:rPr>
          <w:rFonts w:ascii="Times New Roman" w:hAnsi="Times New Roman" w:cs="Times New Roman"/>
          <w:bCs/>
          <w:i/>
          <w:color w:val="FF0000"/>
          <w:sz w:val="24"/>
          <w:szCs w:val="24"/>
        </w:rPr>
      </w:pPr>
      <w:r>
        <w:rPr>
          <w:rFonts w:ascii="Times New Roman" w:hAnsi="Times New Roman" w:cs="Times New Roman"/>
          <w:bCs/>
          <w:i/>
          <w:color w:val="FF0000"/>
          <w:sz w:val="24"/>
          <w:szCs w:val="24"/>
        </w:rPr>
        <w:t>UPLOAD as a PDF with the title LastnameFirstnameCompanyname i.e., FarizoJoeMarkel.</w:t>
      </w:r>
    </w:p>
    <w:p w14:paraId="5D4356E8" w14:textId="786A064D" w:rsidR="00C617B1" w:rsidRPr="00C617B1" w:rsidRDefault="00C617B1" w:rsidP="00C617B1">
      <w:pPr>
        <w:tabs>
          <w:tab w:val="left" w:pos="1477"/>
        </w:tabs>
        <w:jc w:val="center"/>
        <w:rPr>
          <w:rFonts w:ascii="Times New Roman" w:hAnsi="Times New Roman" w:cs="Times New Roman"/>
          <w:b/>
          <w:smallCaps/>
          <w:color w:val="990000"/>
          <w:sz w:val="56"/>
          <w:szCs w:val="56"/>
        </w:rPr>
      </w:pPr>
      <w:r w:rsidRPr="00C617B1">
        <w:rPr>
          <w:rFonts w:ascii="Times New Roman" w:hAnsi="Times New Roman" w:cs="Times New Roman"/>
          <w:b/>
          <w:smallCaps/>
          <w:color w:val="990000"/>
          <w:sz w:val="56"/>
          <w:szCs w:val="56"/>
        </w:rPr>
        <w:t>Financial Analysis Report</w:t>
      </w:r>
    </w:p>
    <w:p w14:paraId="1EE66069" w14:textId="77777777" w:rsidR="004373BF" w:rsidRPr="00FE5D05" w:rsidRDefault="004373BF" w:rsidP="00B764DA">
      <w:pPr>
        <w:tabs>
          <w:tab w:val="left" w:pos="1477"/>
        </w:tabs>
        <w:jc w:val="center"/>
        <w:rPr>
          <w:rFonts w:ascii="Times New Roman" w:hAnsi="Times New Roman" w:cs="Times New Roman"/>
          <w:bCs/>
          <w:sz w:val="24"/>
          <w:szCs w:val="24"/>
        </w:rPr>
      </w:pPr>
    </w:p>
    <w:p w14:paraId="6442F60E" w14:textId="73ACA8CB" w:rsidR="008F5E5C" w:rsidRDefault="00231F88" w:rsidP="00B764DA">
      <w:pPr>
        <w:tabs>
          <w:tab w:val="left" w:pos="1477"/>
        </w:tabs>
        <w:jc w:val="center"/>
        <w:rPr>
          <w:rFonts w:ascii="Times New Roman" w:hAnsi="Times New Roman" w:cs="Times New Roman"/>
          <w:bCs/>
          <w:sz w:val="24"/>
          <w:szCs w:val="24"/>
        </w:rPr>
      </w:pPr>
      <w:r>
        <w:rPr>
          <w:noProof/>
        </w:rPr>
        <w:drawing>
          <wp:inline distT="0" distB="0" distL="0" distR="0" wp14:anchorId="037AFA17" wp14:editId="5CFC4029">
            <wp:extent cx="3038475" cy="1591304"/>
            <wp:effectExtent l="0" t="0" r="0" b="9525"/>
            <wp:docPr id="792784941" name="Picture 1" descr="Markel announces reorganization for US profession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el announces reorganization for US professional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0354" cy="1602763"/>
                    </a:xfrm>
                    <a:prstGeom prst="rect">
                      <a:avLst/>
                    </a:prstGeom>
                    <a:noFill/>
                    <a:ln>
                      <a:noFill/>
                    </a:ln>
                  </pic:spPr>
                </pic:pic>
              </a:graphicData>
            </a:graphic>
          </wp:inline>
        </w:drawing>
      </w:r>
    </w:p>
    <w:p w14:paraId="211BB329" w14:textId="2E27FBA2" w:rsidR="008F5E5C" w:rsidRPr="00C617B1" w:rsidRDefault="008F5E5C" w:rsidP="005A6B2B">
      <w:pPr>
        <w:pBdr>
          <w:bottom w:val="single" w:sz="4" w:space="1" w:color="auto"/>
        </w:pBdr>
        <w:tabs>
          <w:tab w:val="left" w:pos="1477"/>
        </w:tabs>
        <w:spacing w:after="0"/>
        <w:jc w:val="center"/>
        <w:rPr>
          <w:rFonts w:ascii="Times New Roman" w:hAnsi="Times New Roman" w:cs="Times New Roman"/>
          <w:bCs/>
          <w:color w:val="000000" w:themeColor="text1"/>
          <w:sz w:val="24"/>
          <w:szCs w:val="24"/>
        </w:rPr>
      </w:pPr>
      <w:r w:rsidRPr="00C617B1">
        <w:rPr>
          <w:rFonts w:ascii="Times New Roman" w:hAnsi="Times New Roman" w:cs="Times New Roman"/>
          <w:bCs/>
          <w:color w:val="000000" w:themeColor="text1"/>
          <w:sz w:val="24"/>
          <w:szCs w:val="24"/>
        </w:rPr>
        <w:t>Jo</w:t>
      </w:r>
      <w:r w:rsidR="00231F88" w:rsidRPr="00C617B1">
        <w:rPr>
          <w:rFonts w:ascii="Times New Roman" w:hAnsi="Times New Roman" w:cs="Times New Roman"/>
          <w:bCs/>
          <w:color w:val="000000" w:themeColor="text1"/>
          <w:sz w:val="24"/>
          <w:szCs w:val="24"/>
        </w:rPr>
        <w:t>e</w:t>
      </w:r>
      <w:r w:rsidRPr="00C617B1">
        <w:rPr>
          <w:rFonts w:ascii="Times New Roman" w:hAnsi="Times New Roman" w:cs="Times New Roman"/>
          <w:bCs/>
          <w:color w:val="000000" w:themeColor="text1"/>
          <w:sz w:val="24"/>
          <w:szCs w:val="24"/>
        </w:rPr>
        <w:t xml:space="preserve"> Farizo</w:t>
      </w:r>
    </w:p>
    <w:p w14:paraId="39C2E186" w14:textId="5F3D71F0" w:rsidR="00562834" w:rsidRDefault="00562834" w:rsidP="00515210">
      <w:pPr>
        <w:jc w:val="center"/>
        <w:rPr>
          <w:rFonts w:ascii="Times New Roman" w:hAnsi="Times New Roman" w:cs="Times New Roman"/>
          <w:bCs/>
          <w:i/>
          <w:sz w:val="24"/>
          <w:szCs w:val="24"/>
        </w:rPr>
      </w:pPr>
    </w:p>
    <w:p w14:paraId="3651F7C7" w14:textId="12956CB1" w:rsidR="008A790D" w:rsidRPr="008A790D" w:rsidRDefault="008A790D" w:rsidP="008A790D">
      <w:pPr>
        <w:pStyle w:val="Heading1"/>
        <w:spacing w:after="90"/>
        <w:rPr>
          <w:color w:val="6F7479"/>
          <w:sz w:val="28"/>
          <w:szCs w:val="28"/>
        </w:rPr>
      </w:pPr>
      <w:r>
        <w:rPr>
          <w:color w:val="6F7479"/>
          <w:sz w:val="28"/>
          <w:szCs w:val="28"/>
        </w:rPr>
        <w:t>Using the</w:t>
      </w:r>
      <w:r w:rsidRPr="000500B5">
        <w:rPr>
          <w:color w:val="6F7479"/>
          <w:sz w:val="28"/>
          <w:szCs w:val="28"/>
        </w:rPr>
        <w:t xml:space="preserve"> </w:t>
      </w:r>
      <w:r>
        <w:rPr>
          <w:color w:val="6F7479"/>
          <w:sz w:val="28"/>
          <w:szCs w:val="28"/>
        </w:rPr>
        <w:t>10-K</w:t>
      </w:r>
      <w:r w:rsidRPr="000500B5">
        <w:rPr>
          <w:color w:val="6F7479"/>
          <w:sz w:val="28"/>
          <w:szCs w:val="28"/>
        </w:rPr>
        <w:t>:</w:t>
      </w:r>
    </w:p>
    <w:p w14:paraId="061458D9" w14:textId="77777777" w:rsidR="00E80726" w:rsidRPr="00E80726" w:rsidRDefault="00E80726" w:rsidP="00E80726">
      <w:pPr>
        <w:pStyle w:val="ListParagraph"/>
        <w:numPr>
          <w:ilvl w:val="0"/>
          <w:numId w:val="12"/>
        </w:numPr>
        <w:ind w:left="360"/>
        <w:jc w:val="both"/>
        <w:rPr>
          <w:rFonts w:ascii="Times New Roman" w:hAnsi="Times New Roman" w:cs="Times New Roman"/>
          <w:b/>
          <w:bCs/>
          <w:sz w:val="24"/>
          <w:szCs w:val="24"/>
        </w:rPr>
      </w:pPr>
      <w:r w:rsidRPr="00E80726">
        <w:rPr>
          <w:rFonts w:ascii="Times New Roman" w:hAnsi="Times New Roman" w:cs="Times New Roman"/>
          <w:b/>
          <w:bCs/>
          <w:sz w:val="24"/>
          <w:szCs w:val="24"/>
        </w:rPr>
        <w:t xml:space="preserve">Summarize Item 1 (Business) and Item 1A (Risk Factors) of your firm’s 10-K to describe your firm and its risks. In </w:t>
      </w:r>
      <w:r w:rsidRPr="00E80726">
        <w:rPr>
          <w:rFonts w:ascii="Times New Roman" w:hAnsi="Times New Roman" w:cs="Times New Roman"/>
          <w:b/>
          <w:bCs/>
          <w:i/>
          <w:iCs/>
          <w:sz w:val="24"/>
          <w:szCs w:val="24"/>
        </w:rPr>
        <w:t>simple</w:t>
      </w:r>
      <w:r w:rsidRPr="00E80726">
        <w:rPr>
          <w:rFonts w:ascii="Times New Roman" w:hAnsi="Times New Roman" w:cs="Times New Roman"/>
          <w:b/>
          <w:bCs/>
          <w:sz w:val="24"/>
          <w:szCs w:val="24"/>
        </w:rPr>
        <w:t xml:space="preserve"> terms, how does your company make money? What are the biggest threats to its business?</w:t>
      </w:r>
    </w:p>
    <w:p w14:paraId="04DBAFB2" w14:textId="7D15E268" w:rsidR="00683E30" w:rsidRDefault="00683E30" w:rsidP="00683E30">
      <w:pPr>
        <w:ind w:firstLine="360"/>
        <w:rPr>
          <w:rFonts w:ascii="Times New Roman" w:hAnsi="Times New Roman" w:cs="Times New Roman"/>
          <w:bCs/>
          <w:sz w:val="24"/>
          <w:szCs w:val="24"/>
          <w:u w:val="single"/>
        </w:rPr>
      </w:pPr>
      <w:r w:rsidRPr="00FE5D05">
        <w:rPr>
          <w:rFonts w:ascii="Times New Roman" w:hAnsi="Times New Roman" w:cs="Times New Roman"/>
          <w:bCs/>
          <w:sz w:val="24"/>
          <w:szCs w:val="24"/>
          <w:u w:val="single"/>
        </w:rPr>
        <w:t>Item 1: Business</w:t>
      </w:r>
    </w:p>
    <w:p w14:paraId="2B424BB9" w14:textId="77777777" w:rsidR="00EF0882" w:rsidRDefault="00EF0882" w:rsidP="00224B2C">
      <w:pPr>
        <w:ind w:left="360"/>
        <w:jc w:val="both"/>
        <w:rPr>
          <w:rFonts w:ascii="Times New Roman" w:hAnsi="Times New Roman" w:cs="Times New Roman"/>
          <w:bCs/>
          <w:sz w:val="24"/>
          <w:szCs w:val="24"/>
        </w:rPr>
      </w:pPr>
      <w:r w:rsidRPr="00EF0882">
        <w:rPr>
          <w:rFonts w:ascii="Times New Roman" w:hAnsi="Times New Roman" w:cs="Times New Roman"/>
          <w:bCs/>
          <w:sz w:val="24"/>
          <w:szCs w:val="24"/>
        </w:rPr>
        <w:t xml:space="preserve">Markel Group Inc. is a diversified financial holding company that makes money through three main business engines: </w:t>
      </w:r>
    </w:p>
    <w:p w14:paraId="0BDB34DF" w14:textId="3D42ECB9" w:rsidR="00EF0882" w:rsidRPr="00EF0882" w:rsidRDefault="00EF0882" w:rsidP="00EF0882">
      <w:pPr>
        <w:pStyle w:val="ListParagraph"/>
        <w:numPr>
          <w:ilvl w:val="3"/>
          <w:numId w:val="12"/>
        </w:numPr>
        <w:ind w:left="1170"/>
        <w:jc w:val="both"/>
        <w:rPr>
          <w:rFonts w:ascii="Times New Roman" w:hAnsi="Times New Roman" w:cs="Times New Roman"/>
          <w:bCs/>
          <w:sz w:val="24"/>
          <w:szCs w:val="24"/>
        </w:rPr>
      </w:pPr>
      <w:r w:rsidRPr="00EF0882">
        <w:rPr>
          <w:rFonts w:ascii="Times New Roman" w:hAnsi="Times New Roman" w:cs="Times New Roman"/>
          <w:bCs/>
          <w:sz w:val="24"/>
          <w:szCs w:val="24"/>
        </w:rPr>
        <w:t>I</w:t>
      </w:r>
      <w:r w:rsidRPr="00EF0882">
        <w:rPr>
          <w:rFonts w:ascii="Times New Roman" w:hAnsi="Times New Roman" w:cs="Times New Roman"/>
          <w:bCs/>
          <w:sz w:val="24"/>
          <w:szCs w:val="24"/>
        </w:rPr>
        <w:t>nsurance</w:t>
      </w:r>
      <w:r w:rsidRPr="00EF0882">
        <w:rPr>
          <w:rFonts w:ascii="Times New Roman" w:hAnsi="Times New Roman" w:cs="Times New Roman"/>
          <w:bCs/>
          <w:sz w:val="24"/>
          <w:szCs w:val="24"/>
        </w:rPr>
        <w:t xml:space="preserve">: </w:t>
      </w:r>
      <w:r w:rsidRPr="00EF0882">
        <w:rPr>
          <w:rFonts w:ascii="Times New Roman" w:hAnsi="Times New Roman" w:cs="Times New Roman"/>
          <w:bCs/>
          <w:sz w:val="24"/>
          <w:szCs w:val="24"/>
        </w:rPr>
        <w:t>underwriting niche and hard-to-place insurance risks through its global insurance and reinsurance platforms. It also earns fees by offering program services</w:t>
      </w:r>
      <w:r w:rsidR="00F45064">
        <w:rPr>
          <w:rFonts w:ascii="Times New Roman" w:hAnsi="Times New Roman" w:cs="Times New Roman"/>
          <w:bCs/>
          <w:sz w:val="24"/>
          <w:szCs w:val="24"/>
        </w:rPr>
        <w:t xml:space="preserve"> (</w:t>
      </w:r>
      <w:r w:rsidRPr="00EF0882">
        <w:rPr>
          <w:rFonts w:ascii="Times New Roman" w:hAnsi="Times New Roman" w:cs="Times New Roman"/>
          <w:bCs/>
          <w:sz w:val="24"/>
          <w:szCs w:val="24"/>
        </w:rPr>
        <w:t>writing insurance policies on behalf of other carriers</w:t>
      </w:r>
      <w:r w:rsidR="00F45064">
        <w:rPr>
          <w:rFonts w:ascii="Times New Roman" w:hAnsi="Times New Roman" w:cs="Times New Roman"/>
          <w:bCs/>
          <w:sz w:val="24"/>
          <w:szCs w:val="24"/>
        </w:rPr>
        <w:t xml:space="preserve">) </w:t>
      </w:r>
      <w:r w:rsidRPr="00EF0882">
        <w:rPr>
          <w:rFonts w:ascii="Times New Roman" w:hAnsi="Times New Roman" w:cs="Times New Roman"/>
          <w:bCs/>
          <w:sz w:val="24"/>
          <w:szCs w:val="24"/>
        </w:rPr>
        <w:t xml:space="preserve">and managing insurance-linked securities for institutional investors. </w:t>
      </w:r>
      <w:r w:rsidR="00F45064">
        <w:rPr>
          <w:rFonts w:ascii="Times New Roman" w:hAnsi="Times New Roman" w:cs="Times New Roman"/>
          <w:bCs/>
          <w:sz w:val="24"/>
          <w:szCs w:val="24"/>
        </w:rPr>
        <w:t>($8.7 billion – or 52% of total revenue.)</w:t>
      </w:r>
    </w:p>
    <w:p w14:paraId="30B2434A" w14:textId="73880D6D" w:rsidR="00EF0882" w:rsidRPr="00EF0882" w:rsidRDefault="00EF0882" w:rsidP="00EF0882">
      <w:pPr>
        <w:pStyle w:val="ListParagraph"/>
        <w:ind w:left="1170"/>
        <w:jc w:val="both"/>
        <w:rPr>
          <w:rFonts w:ascii="Times New Roman" w:hAnsi="Times New Roman" w:cs="Times New Roman"/>
          <w:bCs/>
          <w:sz w:val="24"/>
          <w:szCs w:val="24"/>
          <w:u w:val="single"/>
        </w:rPr>
      </w:pPr>
    </w:p>
    <w:p w14:paraId="619E7D12" w14:textId="2944CDD0" w:rsidR="00EF0882" w:rsidRPr="00EF0882" w:rsidRDefault="00EF0882" w:rsidP="00EF0882">
      <w:pPr>
        <w:pStyle w:val="ListParagraph"/>
        <w:numPr>
          <w:ilvl w:val="3"/>
          <w:numId w:val="12"/>
        </w:numPr>
        <w:ind w:left="1170"/>
        <w:jc w:val="both"/>
        <w:rPr>
          <w:rFonts w:ascii="Times New Roman" w:hAnsi="Times New Roman" w:cs="Times New Roman"/>
          <w:bCs/>
          <w:sz w:val="24"/>
          <w:szCs w:val="24"/>
          <w:u w:val="single"/>
        </w:rPr>
      </w:pPr>
      <w:r>
        <w:rPr>
          <w:rFonts w:ascii="Times New Roman" w:hAnsi="Times New Roman" w:cs="Times New Roman"/>
          <w:bCs/>
          <w:sz w:val="24"/>
          <w:szCs w:val="24"/>
        </w:rPr>
        <w:t>I</w:t>
      </w:r>
      <w:r w:rsidRPr="00EF0882">
        <w:rPr>
          <w:rFonts w:ascii="Times New Roman" w:hAnsi="Times New Roman" w:cs="Times New Roman"/>
          <w:bCs/>
          <w:sz w:val="24"/>
          <w:szCs w:val="24"/>
        </w:rPr>
        <w:t>nvestments</w:t>
      </w:r>
      <w:r>
        <w:rPr>
          <w:rFonts w:ascii="Times New Roman" w:hAnsi="Times New Roman" w:cs="Times New Roman"/>
          <w:bCs/>
          <w:sz w:val="24"/>
          <w:szCs w:val="24"/>
        </w:rPr>
        <w:t xml:space="preserve">: </w:t>
      </w:r>
      <w:r w:rsidRPr="00EF0882">
        <w:rPr>
          <w:rFonts w:ascii="Times New Roman" w:hAnsi="Times New Roman" w:cs="Times New Roman"/>
          <w:bCs/>
          <w:sz w:val="24"/>
          <w:szCs w:val="24"/>
        </w:rPr>
        <w:t>Markel invests the capital it holds from insurance premiums in equity and fixed-income markets, generating returns from interest, dividends, and capital gains.</w:t>
      </w:r>
      <w:r w:rsidR="00F45064">
        <w:rPr>
          <w:rFonts w:ascii="Times New Roman" w:hAnsi="Times New Roman" w:cs="Times New Roman"/>
          <w:bCs/>
          <w:sz w:val="24"/>
          <w:szCs w:val="24"/>
        </w:rPr>
        <w:t xml:space="preserve"> ($2.7 billion or 16% of total revenue)</w:t>
      </w:r>
    </w:p>
    <w:p w14:paraId="7B1F4990" w14:textId="77777777" w:rsidR="00EF0882" w:rsidRPr="00EF0882" w:rsidRDefault="00EF0882" w:rsidP="00EF0882">
      <w:pPr>
        <w:pStyle w:val="ListParagraph"/>
        <w:ind w:left="2520"/>
        <w:jc w:val="both"/>
        <w:rPr>
          <w:rFonts w:ascii="Times New Roman" w:hAnsi="Times New Roman" w:cs="Times New Roman"/>
          <w:bCs/>
          <w:sz w:val="24"/>
          <w:szCs w:val="24"/>
          <w:u w:val="single"/>
        </w:rPr>
      </w:pPr>
    </w:p>
    <w:p w14:paraId="34C6D7C6" w14:textId="23C69A2D" w:rsidR="00EF0882" w:rsidRPr="00EF0882" w:rsidRDefault="00EF0882" w:rsidP="00EF0882">
      <w:pPr>
        <w:pStyle w:val="ListParagraph"/>
        <w:numPr>
          <w:ilvl w:val="3"/>
          <w:numId w:val="12"/>
        </w:numPr>
        <w:ind w:left="1170"/>
        <w:jc w:val="both"/>
        <w:rPr>
          <w:rFonts w:ascii="Times New Roman" w:hAnsi="Times New Roman" w:cs="Times New Roman"/>
          <w:bCs/>
          <w:sz w:val="24"/>
          <w:szCs w:val="24"/>
          <w:u w:val="single"/>
        </w:rPr>
      </w:pPr>
      <w:r>
        <w:rPr>
          <w:rFonts w:ascii="Times New Roman" w:hAnsi="Times New Roman" w:cs="Times New Roman"/>
          <w:bCs/>
          <w:sz w:val="24"/>
          <w:szCs w:val="24"/>
        </w:rPr>
        <w:lastRenderedPageBreak/>
        <w:t>M</w:t>
      </w:r>
      <w:r w:rsidRPr="00EF0882">
        <w:rPr>
          <w:rFonts w:ascii="Times New Roman" w:hAnsi="Times New Roman" w:cs="Times New Roman"/>
          <w:bCs/>
          <w:sz w:val="24"/>
          <w:szCs w:val="24"/>
        </w:rPr>
        <w:t>arkel Ventures</w:t>
      </w:r>
      <w:r>
        <w:rPr>
          <w:rFonts w:ascii="Times New Roman" w:hAnsi="Times New Roman" w:cs="Times New Roman"/>
          <w:bCs/>
          <w:sz w:val="24"/>
          <w:szCs w:val="24"/>
        </w:rPr>
        <w:t xml:space="preserve">: </w:t>
      </w:r>
      <w:r w:rsidRPr="00EF0882">
        <w:rPr>
          <w:rFonts w:ascii="Times New Roman" w:hAnsi="Times New Roman" w:cs="Times New Roman"/>
          <w:bCs/>
          <w:sz w:val="24"/>
          <w:szCs w:val="24"/>
        </w:rPr>
        <w:t>the company owns a collection of non-insurance businesses operating in various industries such as construction, consumer goods, and technology consulting, providing a steady stream of income outside the financial markets.</w:t>
      </w:r>
      <w:r w:rsidR="00F45064">
        <w:rPr>
          <w:rFonts w:ascii="Times New Roman" w:hAnsi="Times New Roman" w:cs="Times New Roman"/>
          <w:bCs/>
          <w:sz w:val="24"/>
          <w:szCs w:val="24"/>
        </w:rPr>
        <w:t xml:space="preserve"> ($5.1 billion in revenue – or 31% of total revenue)</w:t>
      </w:r>
    </w:p>
    <w:p w14:paraId="2EE9934C" w14:textId="703FC2B4" w:rsidR="00F45064" w:rsidRDefault="00F45064" w:rsidP="00F45064">
      <w:pPr>
        <w:ind w:firstLine="360"/>
        <w:rPr>
          <w:rFonts w:ascii="Times New Roman" w:hAnsi="Times New Roman" w:cs="Times New Roman"/>
          <w:bCs/>
          <w:sz w:val="24"/>
          <w:szCs w:val="24"/>
          <w:u w:val="single"/>
        </w:rPr>
      </w:pPr>
      <w:r w:rsidRPr="00FE5D05">
        <w:rPr>
          <w:rFonts w:ascii="Times New Roman" w:hAnsi="Times New Roman" w:cs="Times New Roman"/>
          <w:bCs/>
          <w:sz w:val="24"/>
          <w:szCs w:val="24"/>
          <w:u w:val="single"/>
        </w:rPr>
        <w:t xml:space="preserve">Item </w:t>
      </w:r>
      <w:r>
        <w:rPr>
          <w:rFonts w:ascii="Times New Roman" w:hAnsi="Times New Roman" w:cs="Times New Roman"/>
          <w:bCs/>
          <w:sz w:val="24"/>
          <w:szCs w:val="24"/>
          <w:u w:val="single"/>
        </w:rPr>
        <w:t>2</w:t>
      </w:r>
      <w:r w:rsidRPr="00FE5D05">
        <w:rPr>
          <w:rFonts w:ascii="Times New Roman" w:hAnsi="Times New Roman" w:cs="Times New Roman"/>
          <w:bCs/>
          <w:sz w:val="24"/>
          <w:szCs w:val="24"/>
          <w:u w:val="single"/>
        </w:rPr>
        <w:t xml:space="preserve">: </w:t>
      </w:r>
      <w:r>
        <w:rPr>
          <w:rFonts w:ascii="Times New Roman" w:hAnsi="Times New Roman" w:cs="Times New Roman"/>
          <w:bCs/>
          <w:sz w:val="24"/>
          <w:szCs w:val="24"/>
          <w:u w:val="single"/>
        </w:rPr>
        <w:t>Risk Factors</w:t>
      </w:r>
    </w:p>
    <w:p w14:paraId="616BF55B" w14:textId="77777777" w:rsidR="00F45064" w:rsidRDefault="00F45064" w:rsidP="00F45064">
      <w:pPr>
        <w:ind w:left="360"/>
        <w:jc w:val="both"/>
        <w:rPr>
          <w:rFonts w:ascii="Times New Roman" w:hAnsi="Times New Roman" w:cs="Times New Roman"/>
          <w:bCs/>
          <w:sz w:val="24"/>
          <w:szCs w:val="24"/>
        </w:rPr>
      </w:pPr>
      <w:r>
        <w:rPr>
          <w:rFonts w:ascii="Times New Roman" w:hAnsi="Times New Roman" w:cs="Times New Roman"/>
          <w:bCs/>
          <w:sz w:val="24"/>
          <w:szCs w:val="24"/>
        </w:rPr>
        <w:t>Risks</w:t>
      </w:r>
      <w:r w:rsidR="00EF0882" w:rsidRPr="00EF0882">
        <w:rPr>
          <w:rFonts w:ascii="Times New Roman" w:hAnsi="Times New Roman" w:cs="Times New Roman"/>
          <w:bCs/>
          <w:sz w:val="24"/>
          <w:szCs w:val="24"/>
        </w:rPr>
        <w:t xml:space="preserve"> include </w:t>
      </w:r>
    </w:p>
    <w:p w14:paraId="1ED64817" w14:textId="77777777" w:rsidR="00F45064" w:rsidRPr="00F45064" w:rsidRDefault="00EF0882" w:rsidP="00F45064">
      <w:pPr>
        <w:pStyle w:val="ListParagraph"/>
        <w:numPr>
          <w:ilvl w:val="0"/>
          <w:numId w:val="18"/>
        </w:numPr>
        <w:jc w:val="both"/>
        <w:rPr>
          <w:rFonts w:ascii="Times New Roman" w:hAnsi="Times New Roman" w:cs="Times New Roman"/>
          <w:bCs/>
          <w:sz w:val="24"/>
          <w:szCs w:val="24"/>
          <w:u w:val="single"/>
        </w:rPr>
      </w:pPr>
      <w:r w:rsidRPr="00F45064">
        <w:rPr>
          <w:rFonts w:ascii="Times New Roman" w:hAnsi="Times New Roman" w:cs="Times New Roman"/>
          <w:bCs/>
          <w:sz w:val="24"/>
          <w:szCs w:val="24"/>
        </w:rPr>
        <w:t>exposure to large insurance losses from catastrophes or rising claims costs</w:t>
      </w:r>
    </w:p>
    <w:p w14:paraId="2BFE50A5" w14:textId="7BE94963" w:rsidR="00F45064" w:rsidRPr="00783E63" w:rsidRDefault="00F45064" w:rsidP="00F45064">
      <w:pPr>
        <w:pStyle w:val="ListParagraph"/>
        <w:numPr>
          <w:ilvl w:val="0"/>
          <w:numId w:val="18"/>
        </w:numPr>
        <w:jc w:val="both"/>
        <w:rPr>
          <w:rFonts w:ascii="Times New Roman" w:hAnsi="Times New Roman" w:cs="Times New Roman"/>
          <w:bCs/>
          <w:sz w:val="24"/>
          <w:szCs w:val="24"/>
          <w:u w:val="single"/>
        </w:rPr>
      </w:pPr>
      <w:r>
        <w:rPr>
          <w:rFonts w:ascii="Times New Roman" w:hAnsi="Times New Roman" w:cs="Times New Roman"/>
          <w:bCs/>
          <w:sz w:val="24"/>
          <w:szCs w:val="24"/>
        </w:rPr>
        <w:t xml:space="preserve">failure to </w:t>
      </w:r>
      <w:r w:rsidR="00783E63">
        <w:rPr>
          <w:rFonts w:ascii="Times New Roman" w:hAnsi="Times New Roman" w:cs="Times New Roman"/>
          <w:bCs/>
          <w:sz w:val="24"/>
          <w:szCs w:val="24"/>
        </w:rPr>
        <w:t>calculate/manage exposure to losses</w:t>
      </w:r>
    </w:p>
    <w:p w14:paraId="7E54258A" w14:textId="3E37D5C6" w:rsidR="00783E63" w:rsidRPr="00783E63" w:rsidRDefault="00783E63" w:rsidP="00F45064">
      <w:pPr>
        <w:pStyle w:val="ListParagraph"/>
        <w:numPr>
          <w:ilvl w:val="0"/>
          <w:numId w:val="18"/>
        </w:numPr>
        <w:jc w:val="both"/>
        <w:rPr>
          <w:rFonts w:ascii="Times New Roman" w:hAnsi="Times New Roman" w:cs="Times New Roman"/>
          <w:bCs/>
          <w:sz w:val="24"/>
          <w:szCs w:val="24"/>
          <w:u w:val="single"/>
        </w:rPr>
      </w:pPr>
      <w:r>
        <w:rPr>
          <w:rFonts w:ascii="Times New Roman" w:hAnsi="Times New Roman" w:cs="Times New Roman"/>
          <w:bCs/>
          <w:sz w:val="24"/>
          <w:szCs w:val="24"/>
        </w:rPr>
        <w:t>climate change</w:t>
      </w:r>
    </w:p>
    <w:p w14:paraId="11DB142E" w14:textId="759174A3" w:rsidR="00783E63" w:rsidRPr="00783E63" w:rsidRDefault="00783E63" w:rsidP="00F45064">
      <w:pPr>
        <w:pStyle w:val="ListParagraph"/>
        <w:numPr>
          <w:ilvl w:val="0"/>
          <w:numId w:val="18"/>
        </w:numPr>
        <w:jc w:val="both"/>
        <w:rPr>
          <w:rFonts w:ascii="Times New Roman" w:hAnsi="Times New Roman" w:cs="Times New Roman"/>
          <w:bCs/>
          <w:sz w:val="24"/>
          <w:szCs w:val="24"/>
          <w:u w:val="single"/>
        </w:rPr>
      </w:pPr>
      <w:r>
        <w:rPr>
          <w:rFonts w:ascii="Times New Roman" w:hAnsi="Times New Roman" w:cs="Times New Roman"/>
          <w:bCs/>
          <w:sz w:val="24"/>
          <w:szCs w:val="24"/>
        </w:rPr>
        <w:t>failure of analytical models</w:t>
      </w:r>
    </w:p>
    <w:p w14:paraId="4009D23E" w14:textId="39395C3C" w:rsidR="00783E63" w:rsidRPr="00F45064" w:rsidRDefault="00783E63" w:rsidP="00F45064">
      <w:pPr>
        <w:pStyle w:val="ListParagraph"/>
        <w:numPr>
          <w:ilvl w:val="0"/>
          <w:numId w:val="18"/>
        </w:numPr>
        <w:jc w:val="both"/>
        <w:rPr>
          <w:rFonts w:ascii="Times New Roman" w:hAnsi="Times New Roman" w:cs="Times New Roman"/>
          <w:bCs/>
          <w:sz w:val="24"/>
          <w:szCs w:val="24"/>
          <w:u w:val="single"/>
        </w:rPr>
      </w:pPr>
      <w:r>
        <w:rPr>
          <w:rFonts w:ascii="Times New Roman" w:hAnsi="Times New Roman" w:cs="Times New Roman"/>
          <w:bCs/>
          <w:sz w:val="24"/>
          <w:szCs w:val="24"/>
        </w:rPr>
        <w:t>losses in excess of reserves</w:t>
      </w:r>
    </w:p>
    <w:p w14:paraId="4A535F9A" w14:textId="77777777" w:rsidR="00F45064" w:rsidRPr="00F45064" w:rsidRDefault="00EF0882" w:rsidP="00F45064">
      <w:pPr>
        <w:pStyle w:val="ListParagraph"/>
        <w:numPr>
          <w:ilvl w:val="0"/>
          <w:numId w:val="18"/>
        </w:numPr>
        <w:jc w:val="both"/>
        <w:rPr>
          <w:rFonts w:ascii="Times New Roman" w:hAnsi="Times New Roman" w:cs="Times New Roman"/>
          <w:bCs/>
          <w:sz w:val="24"/>
          <w:szCs w:val="24"/>
          <w:u w:val="single"/>
        </w:rPr>
      </w:pPr>
      <w:r w:rsidRPr="00F45064">
        <w:rPr>
          <w:rFonts w:ascii="Times New Roman" w:hAnsi="Times New Roman" w:cs="Times New Roman"/>
          <w:bCs/>
          <w:sz w:val="24"/>
          <w:szCs w:val="24"/>
        </w:rPr>
        <w:t>volatility in investment markets</w:t>
      </w:r>
    </w:p>
    <w:p w14:paraId="13DBC91D" w14:textId="206B1142" w:rsidR="00F45064" w:rsidRPr="00F45064" w:rsidRDefault="00783E63" w:rsidP="00F45064">
      <w:pPr>
        <w:pStyle w:val="ListParagraph"/>
        <w:numPr>
          <w:ilvl w:val="0"/>
          <w:numId w:val="18"/>
        </w:numPr>
        <w:jc w:val="both"/>
        <w:rPr>
          <w:rFonts w:ascii="Times New Roman" w:hAnsi="Times New Roman" w:cs="Times New Roman"/>
          <w:bCs/>
          <w:sz w:val="24"/>
          <w:szCs w:val="24"/>
          <w:u w:val="single"/>
        </w:rPr>
      </w:pPr>
      <w:r>
        <w:rPr>
          <w:rFonts w:ascii="Times New Roman" w:hAnsi="Times New Roman" w:cs="Times New Roman"/>
          <w:bCs/>
          <w:sz w:val="24"/>
          <w:szCs w:val="24"/>
        </w:rPr>
        <w:t>inability to purchase reinsurance at favorable terms</w:t>
      </w:r>
    </w:p>
    <w:p w14:paraId="04486282" w14:textId="77777777" w:rsidR="00F45064" w:rsidRPr="00F45064" w:rsidRDefault="00EF0882" w:rsidP="00F45064">
      <w:pPr>
        <w:pStyle w:val="ListParagraph"/>
        <w:numPr>
          <w:ilvl w:val="0"/>
          <w:numId w:val="18"/>
        </w:numPr>
        <w:jc w:val="both"/>
        <w:rPr>
          <w:rFonts w:ascii="Times New Roman" w:hAnsi="Times New Roman" w:cs="Times New Roman"/>
          <w:bCs/>
          <w:sz w:val="24"/>
          <w:szCs w:val="24"/>
          <w:u w:val="single"/>
        </w:rPr>
      </w:pPr>
      <w:r w:rsidRPr="00F45064">
        <w:rPr>
          <w:rFonts w:ascii="Times New Roman" w:hAnsi="Times New Roman" w:cs="Times New Roman"/>
          <w:bCs/>
          <w:sz w:val="24"/>
          <w:szCs w:val="24"/>
        </w:rPr>
        <w:t xml:space="preserve">increasing competition from traditional insurers and new tech-driven entrants. </w:t>
      </w:r>
    </w:p>
    <w:p w14:paraId="3749DEF3" w14:textId="4405012C" w:rsidR="00B602B8" w:rsidRPr="00F45064" w:rsidRDefault="00EF0882" w:rsidP="00F45064">
      <w:pPr>
        <w:ind w:left="360"/>
        <w:jc w:val="both"/>
        <w:rPr>
          <w:rFonts w:ascii="Times New Roman" w:hAnsi="Times New Roman" w:cs="Times New Roman"/>
          <w:bCs/>
          <w:sz w:val="24"/>
          <w:szCs w:val="24"/>
          <w:u w:val="single"/>
        </w:rPr>
      </w:pPr>
      <w:r w:rsidRPr="00F45064">
        <w:rPr>
          <w:rFonts w:ascii="Times New Roman" w:hAnsi="Times New Roman" w:cs="Times New Roman"/>
          <w:bCs/>
          <w:sz w:val="24"/>
          <w:szCs w:val="24"/>
        </w:rPr>
        <w:t>The company is also subject to extensive global regulation, and changes in laws or interest rates could significantly impact its operations and profitability.</w:t>
      </w:r>
    </w:p>
    <w:p w14:paraId="15F7BBB0" w14:textId="77777777" w:rsidR="00E80726" w:rsidRPr="00E80726" w:rsidRDefault="00E80726" w:rsidP="00E80726">
      <w:pPr>
        <w:pStyle w:val="ListParagraph"/>
        <w:numPr>
          <w:ilvl w:val="0"/>
          <w:numId w:val="12"/>
        </w:numPr>
        <w:ind w:left="360"/>
        <w:jc w:val="both"/>
        <w:rPr>
          <w:rFonts w:ascii="Times New Roman" w:hAnsi="Times New Roman" w:cs="Times New Roman"/>
          <w:b/>
          <w:bCs/>
          <w:sz w:val="24"/>
          <w:szCs w:val="23"/>
        </w:rPr>
      </w:pPr>
      <w:bookmarkStart w:id="0" w:name="_Hlk204708535"/>
      <w:r w:rsidRPr="00E80726">
        <w:rPr>
          <w:rFonts w:ascii="Times New Roman" w:hAnsi="Times New Roman" w:cs="Times New Roman"/>
          <w:b/>
          <w:bCs/>
          <w:sz w:val="24"/>
          <w:szCs w:val="23"/>
        </w:rPr>
        <w:t xml:space="preserve">Reference the “Management Discussion and Analysis” (MD&amp;A), </w:t>
      </w:r>
      <w:bookmarkStart w:id="1" w:name="_Hlk204713968"/>
      <w:r w:rsidRPr="00E80726">
        <w:rPr>
          <w:rFonts w:ascii="Times New Roman" w:hAnsi="Times New Roman" w:cs="Times New Roman"/>
          <w:b/>
          <w:bCs/>
          <w:sz w:val="24"/>
          <w:szCs w:val="23"/>
        </w:rPr>
        <w:t xml:space="preserve">the Statement of Cash Flow, </w:t>
      </w:r>
      <w:bookmarkEnd w:id="1"/>
      <w:r w:rsidRPr="00E80726">
        <w:rPr>
          <w:rFonts w:ascii="Times New Roman" w:hAnsi="Times New Roman" w:cs="Times New Roman"/>
          <w:b/>
          <w:bCs/>
          <w:sz w:val="24"/>
          <w:szCs w:val="23"/>
        </w:rPr>
        <w:t xml:space="preserve">Notes to the Statement of Cash Flow, and 10-K overall. Discuss the firm’s investments, investment activities, projects, acquisitions, and divestitures. Discuss specifically NPV and IRR and how they might be used in the context of investing in projects. </w:t>
      </w:r>
    </w:p>
    <w:bookmarkEnd w:id="0"/>
    <w:p w14:paraId="7020428C" w14:textId="4C01D078" w:rsidR="00783E63" w:rsidRPr="00FE5D05" w:rsidRDefault="00783E63" w:rsidP="00783E63">
      <w:pPr>
        <w:jc w:val="center"/>
        <w:rPr>
          <w:rFonts w:ascii="Times New Roman" w:hAnsi="Times New Roman" w:cs="Times New Roman"/>
          <w:b/>
          <w:sz w:val="24"/>
          <w:szCs w:val="24"/>
        </w:rPr>
      </w:pPr>
      <w:r>
        <w:rPr>
          <w:rFonts w:ascii="Times New Roman" w:hAnsi="Times New Roman" w:cs="Times New Roman"/>
          <w:b/>
          <w:sz w:val="24"/>
          <w:szCs w:val="24"/>
        </w:rPr>
        <w:t>Condensed Statement of Cash Flow</w:t>
      </w:r>
      <w:r w:rsidR="00BE3ECF">
        <w:rPr>
          <w:rFonts w:ascii="Times New Roman" w:hAnsi="Times New Roman" w:cs="Times New Roman"/>
          <w:b/>
          <w:sz w:val="24"/>
          <w:szCs w:val="24"/>
        </w:rPr>
        <w:t xml:space="preserve"> (in billions)</w:t>
      </w:r>
    </w:p>
    <w:tbl>
      <w:tblPr>
        <w:tblStyle w:val="TableGrid"/>
        <w:tblW w:w="0" w:type="auto"/>
        <w:jc w:val="center"/>
        <w:tblLook w:val="04A0" w:firstRow="1" w:lastRow="0" w:firstColumn="1" w:lastColumn="0" w:noHBand="0" w:noVBand="1"/>
      </w:tblPr>
      <w:tblGrid>
        <w:gridCol w:w="1176"/>
        <w:gridCol w:w="1036"/>
        <w:gridCol w:w="1036"/>
        <w:gridCol w:w="1036"/>
      </w:tblGrid>
      <w:tr w:rsidR="00BE3ECF" w:rsidRPr="00FE5D05" w14:paraId="118AC194" w14:textId="533F8FCF" w:rsidTr="002A0820">
        <w:trPr>
          <w:jc w:val="center"/>
        </w:trPr>
        <w:tc>
          <w:tcPr>
            <w:tcW w:w="0" w:type="auto"/>
            <w:tcBorders>
              <w:top w:val="single" w:sz="4" w:space="0" w:color="auto"/>
              <w:left w:val="nil"/>
              <w:bottom w:val="single" w:sz="4" w:space="0" w:color="auto"/>
              <w:right w:val="nil"/>
            </w:tcBorders>
          </w:tcPr>
          <w:p w14:paraId="20A5D645" w14:textId="01C64238" w:rsidR="00BE3ECF" w:rsidRPr="00FE5D05" w:rsidRDefault="00BE3ECF" w:rsidP="00C140A3">
            <w:pPr>
              <w:pStyle w:val="ListParagraph"/>
              <w:ind w:left="0"/>
              <w:jc w:val="center"/>
              <w:rPr>
                <w:rFonts w:ascii="Times New Roman" w:hAnsi="Times New Roman" w:cs="Times New Roman"/>
                <w:b/>
                <w:sz w:val="24"/>
                <w:szCs w:val="24"/>
              </w:rPr>
            </w:pPr>
          </w:p>
        </w:tc>
        <w:tc>
          <w:tcPr>
            <w:tcW w:w="0" w:type="auto"/>
            <w:tcBorders>
              <w:top w:val="single" w:sz="4" w:space="0" w:color="auto"/>
              <w:left w:val="nil"/>
              <w:bottom w:val="single" w:sz="4" w:space="0" w:color="auto"/>
              <w:right w:val="nil"/>
            </w:tcBorders>
          </w:tcPr>
          <w:p w14:paraId="1519CDA4" w14:textId="291ED420" w:rsidR="00BE3ECF" w:rsidRPr="00FE5D05" w:rsidRDefault="00BE3ECF" w:rsidP="00C140A3">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2024</w:t>
            </w:r>
          </w:p>
        </w:tc>
        <w:tc>
          <w:tcPr>
            <w:tcW w:w="0" w:type="auto"/>
            <w:tcBorders>
              <w:top w:val="single" w:sz="4" w:space="0" w:color="auto"/>
              <w:left w:val="nil"/>
              <w:bottom w:val="single" w:sz="4" w:space="0" w:color="auto"/>
              <w:right w:val="nil"/>
            </w:tcBorders>
          </w:tcPr>
          <w:p w14:paraId="19F2C560" w14:textId="2E58B679" w:rsidR="00BE3ECF" w:rsidRPr="00FE5D05" w:rsidRDefault="00BE3ECF" w:rsidP="00C140A3">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2023</w:t>
            </w:r>
          </w:p>
        </w:tc>
        <w:tc>
          <w:tcPr>
            <w:tcW w:w="0" w:type="auto"/>
            <w:tcBorders>
              <w:top w:val="single" w:sz="4" w:space="0" w:color="auto"/>
              <w:left w:val="nil"/>
              <w:bottom w:val="single" w:sz="4" w:space="0" w:color="auto"/>
              <w:right w:val="nil"/>
            </w:tcBorders>
          </w:tcPr>
          <w:p w14:paraId="487CDA94" w14:textId="03445874" w:rsidR="00BE3ECF" w:rsidRDefault="00BE3ECF" w:rsidP="00BE3ECF">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2022</w:t>
            </w:r>
          </w:p>
        </w:tc>
      </w:tr>
      <w:tr w:rsidR="00BE3ECF" w:rsidRPr="00FE5D05" w14:paraId="54029852" w14:textId="78DA4C8F" w:rsidTr="002A0820">
        <w:trPr>
          <w:jc w:val="center"/>
        </w:trPr>
        <w:tc>
          <w:tcPr>
            <w:tcW w:w="0" w:type="auto"/>
            <w:tcBorders>
              <w:top w:val="single" w:sz="4" w:space="0" w:color="auto"/>
              <w:left w:val="nil"/>
              <w:bottom w:val="nil"/>
              <w:right w:val="nil"/>
            </w:tcBorders>
          </w:tcPr>
          <w:p w14:paraId="13310C1B" w14:textId="0D6D3764" w:rsidR="00BE3ECF" w:rsidRPr="00FE5D05" w:rsidRDefault="00BE3ECF" w:rsidP="00C140A3">
            <w:pPr>
              <w:pStyle w:val="ListParagraph"/>
              <w:ind w:left="0"/>
              <w:jc w:val="both"/>
              <w:rPr>
                <w:rFonts w:ascii="Times New Roman" w:hAnsi="Times New Roman" w:cs="Times New Roman"/>
                <w:bCs/>
                <w:sz w:val="24"/>
                <w:szCs w:val="24"/>
              </w:rPr>
            </w:pPr>
            <w:r>
              <w:rPr>
                <w:rFonts w:ascii="Times New Roman" w:hAnsi="Times New Roman" w:cs="Times New Roman"/>
                <w:bCs/>
                <w:sz w:val="24"/>
                <w:szCs w:val="24"/>
              </w:rPr>
              <w:t>Operating</w:t>
            </w:r>
          </w:p>
        </w:tc>
        <w:tc>
          <w:tcPr>
            <w:tcW w:w="0" w:type="auto"/>
            <w:tcBorders>
              <w:top w:val="single" w:sz="4" w:space="0" w:color="auto"/>
              <w:left w:val="nil"/>
              <w:bottom w:val="nil"/>
              <w:right w:val="nil"/>
            </w:tcBorders>
          </w:tcPr>
          <w:p w14:paraId="5BAA2A45" w14:textId="4931A0A5" w:rsidR="00BE3ECF" w:rsidRPr="00FE5D05" w:rsidRDefault="00BE3ECF" w:rsidP="00C140A3">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$2.59</w:t>
            </w:r>
          </w:p>
        </w:tc>
        <w:tc>
          <w:tcPr>
            <w:tcW w:w="0" w:type="auto"/>
            <w:tcBorders>
              <w:top w:val="single" w:sz="4" w:space="0" w:color="auto"/>
              <w:left w:val="nil"/>
              <w:bottom w:val="nil"/>
              <w:right w:val="nil"/>
            </w:tcBorders>
          </w:tcPr>
          <w:p w14:paraId="2A247754" w14:textId="5BE85636" w:rsidR="00BE3ECF" w:rsidRPr="00FE5D05" w:rsidRDefault="00BE3ECF" w:rsidP="00C140A3">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$2.79</w:t>
            </w:r>
          </w:p>
        </w:tc>
        <w:tc>
          <w:tcPr>
            <w:tcW w:w="0" w:type="auto"/>
            <w:tcBorders>
              <w:top w:val="single" w:sz="4" w:space="0" w:color="auto"/>
              <w:left w:val="nil"/>
              <w:bottom w:val="nil"/>
              <w:right w:val="nil"/>
            </w:tcBorders>
          </w:tcPr>
          <w:p w14:paraId="69B80042" w14:textId="6DBC8690" w:rsidR="00BE3ECF" w:rsidRPr="00FE5D05" w:rsidRDefault="00BE3ECF" w:rsidP="00C140A3">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$2.71</w:t>
            </w:r>
          </w:p>
        </w:tc>
      </w:tr>
      <w:tr w:rsidR="00BE3ECF" w:rsidRPr="00FE5D05" w14:paraId="56BE3858" w14:textId="52EEDCFC" w:rsidTr="00BE3ECF">
        <w:trPr>
          <w:jc w:val="center"/>
        </w:trPr>
        <w:tc>
          <w:tcPr>
            <w:tcW w:w="0" w:type="auto"/>
            <w:tcBorders>
              <w:top w:val="nil"/>
              <w:left w:val="nil"/>
              <w:bottom w:val="nil"/>
              <w:right w:val="nil"/>
            </w:tcBorders>
          </w:tcPr>
          <w:p w14:paraId="029A7495" w14:textId="5D8C3DF7" w:rsidR="00BE3ECF" w:rsidRPr="00FE5D05" w:rsidRDefault="00BE3ECF" w:rsidP="00C140A3">
            <w:pPr>
              <w:pStyle w:val="ListParagraph"/>
              <w:ind w:left="0"/>
              <w:jc w:val="both"/>
              <w:rPr>
                <w:rFonts w:ascii="Times New Roman" w:hAnsi="Times New Roman" w:cs="Times New Roman"/>
                <w:bCs/>
                <w:sz w:val="24"/>
                <w:szCs w:val="24"/>
              </w:rPr>
            </w:pPr>
            <w:r>
              <w:rPr>
                <w:rFonts w:ascii="Times New Roman" w:hAnsi="Times New Roman" w:cs="Times New Roman"/>
                <w:bCs/>
                <w:sz w:val="24"/>
                <w:szCs w:val="24"/>
              </w:rPr>
              <w:t>Investing</w:t>
            </w:r>
          </w:p>
        </w:tc>
        <w:tc>
          <w:tcPr>
            <w:tcW w:w="0" w:type="auto"/>
            <w:tcBorders>
              <w:top w:val="nil"/>
              <w:left w:val="nil"/>
              <w:bottom w:val="nil"/>
              <w:right w:val="nil"/>
            </w:tcBorders>
          </w:tcPr>
          <w:p w14:paraId="7A773617" w14:textId="785F9BCE" w:rsidR="00BE3ECF" w:rsidRPr="00FE5D05" w:rsidRDefault="00BE3ECF" w:rsidP="00C140A3">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($2.39)</w:t>
            </w:r>
          </w:p>
        </w:tc>
        <w:tc>
          <w:tcPr>
            <w:tcW w:w="0" w:type="auto"/>
            <w:tcBorders>
              <w:top w:val="nil"/>
              <w:left w:val="nil"/>
              <w:bottom w:val="nil"/>
              <w:right w:val="nil"/>
            </w:tcBorders>
          </w:tcPr>
          <w:p w14:paraId="4A6318E0" w14:textId="5F9D9F0F" w:rsidR="00BE3ECF" w:rsidRPr="00FE5D05" w:rsidRDefault="00BE3ECF" w:rsidP="00C140A3">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($2.70)</w:t>
            </w:r>
          </w:p>
        </w:tc>
        <w:tc>
          <w:tcPr>
            <w:tcW w:w="0" w:type="auto"/>
            <w:tcBorders>
              <w:top w:val="nil"/>
              <w:left w:val="nil"/>
              <w:bottom w:val="nil"/>
              <w:right w:val="nil"/>
            </w:tcBorders>
          </w:tcPr>
          <w:p w14:paraId="30A096CD" w14:textId="409A8B0B" w:rsidR="00BE3ECF" w:rsidRPr="00FE5D05" w:rsidRDefault="00BE3ECF" w:rsidP="00C140A3">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($1.67)</w:t>
            </w:r>
          </w:p>
        </w:tc>
      </w:tr>
      <w:tr w:rsidR="00BE3ECF" w:rsidRPr="00FE5D05" w14:paraId="69476DA8" w14:textId="1BC5F57D" w:rsidTr="00BE3ECF">
        <w:trPr>
          <w:jc w:val="center"/>
        </w:trPr>
        <w:tc>
          <w:tcPr>
            <w:tcW w:w="0" w:type="auto"/>
            <w:tcBorders>
              <w:top w:val="nil"/>
              <w:left w:val="nil"/>
              <w:bottom w:val="single" w:sz="4" w:space="0" w:color="auto"/>
              <w:right w:val="nil"/>
            </w:tcBorders>
          </w:tcPr>
          <w:p w14:paraId="5A84622E" w14:textId="429A0517" w:rsidR="00BE3ECF" w:rsidRPr="00FE5D05" w:rsidRDefault="00BE3ECF" w:rsidP="00C140A3">
            <w:pPr>
              <w:pStyle w:val="ListParagraph"/>
              <w:ind w:left="0"/>
              <w:jc w:val="both"/>
              <w:rPr>
                <w:rFonts w:ascii="Times New Roman" w:hAnsi="Times New Roman" w:cs="Times New Roman"/>
                <w:bCs/>
                <w:sz w:val="24"/>
                <w:szCs w:val="24"/>
              </w:rPr>
            </w:pPr>
            <w:r>
              <w:rPr>
                <w:rFonts w:ascii="Times New Roman" w:hAnsi="Times New Roman" w:cs="Times New Roman"/>
                <w:bCs/>
                <w:sz w:val="24"/>
                <w:szCs w:val="24"/>
              </w:rPr>
              <w:t>Financing</w:t>
            </w:r>
          </w:p>
        </w:tc>
        <w:tc>
          <w:tcPr>
            <w:tcW w:w="0" w:type="auto"/>
            <w:tcBorders>
              <w:top w:val="nil"/>
              <w:left w:val="nil"/>
              <w:bottom w:val="single" w:sz="4" w:space="0" w:color="auto"/>
              <w:right w:val="nil"/>
            </w:tcBorders>
          </w:tcPr>
          <w:p w14:paraId="23B7733A" w14:textId="60CA94E4" w:rsidR="00BE3ECF" w:rsidRPr="00FE5D05" w:rsidRDefault="00BE3ECF" w:rsidP="00C140A3">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($0.297)</w:t>
            </w:r>
          </w:p>
        </w:tc>
        <w:tc>
          <w:tcPr>
            <w:tcW w:w="0" w:type="auto"/>
            <w:tcBorders>
              <w:top w:val="nil"/>
              <w:left w:val="nil"/>
              <w:bottom w:val="single" w:sz="4" w:space="0" w:color="auto"/>
              <w:right w:val="nil"/>
            </w:tcBorders>
          </w:tcPr>
          <w:p w14:paraId="4FCC3CDB" w14:textId="752C685A" w:rsidR="00BE3ECF" w:rsidRPr="00FE5D05" w:rsidRDefault="00BE3ECF" w:rsidP="00C140A3">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($0.999)</w:t>
            </w:r>
          </w:p>
        </w:tc>
        <w:tc>
          <w:tcPr>
            <w:tcW w:w="0" w:type="auto"/>
            <w:tcBorders>
              <w:top w:val="nil"/>
              <w:left w:val="nil"/>
              <w:bottom w:val="single" w:sz="4" w:space="0" w:color="auto"/>
              <w:right w:val="nil"/>
            </w:tcBorders>
          </w:tcPr>
          <w:p w14:paraId="14678D09" w14:textId="76F8FDE0" w:rsidR="00BE3ECF" w:rsidRPr="00FE5D05" w:rsidRDefault="00BE3ECF" w:rsidP="00C140A3">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($0.595)</w:t>
            </w:r>
          </w:p>
        </w:tc>
      </w:tr>
    </w:tbl>
    <w:p w14:paraId="7FE673A5" w14:textId="77777777" w:rsidR="00783E63" w:rsidRDefault="00783E63" w:rsidP="00E37ACE">
      <w:pPr>
        <w:pStyle w:val="ListParagraph"/>
        <w:ind w:left="360"/>
        <w:jc w:val="both"/>
        <w:rPr>
          <w:rFonts w:ascii="Times New Roman" w:hAnsi="Times New Roman" w:cs="Times New Roman"/>
          <w:bCs/>
          <w:sz w:val="24"/>
          <w:szCs w:val="24"/>
        </w:rPr>
      </w:pPr>
    </w:p>
    <w:p w14:paraId="2DCCB965" w14:textId="3587A6FC" w:rsidR="00783E63" w:rsidRDefault="00927E8C" w:rsidP="00E37ACE">
      <w:pPr>
        <w:pStyle w:val="ListParagraph"/>
        <w:ind w:left="360"/>
        <w:jc w:val="both"/>
        <w:rPr>
          <w:rFonts w:ascii="Times New Roman" w:hAnsi="Times New Roman" w:cs="Times New Roman"/>
          <w:bCs/>
          <w:sz w:val="24"/>
          <w:szCs w:val="24"/>
        </w:rPr>
      </w:pPr>
      <w:r>
        <w:rPr>
          <w:rFonts w:ascii="Times New Roman" w:hAnsi="Times New Roman" w:cs="Times New Roman"/>
          <w:bCs/>
          <w:sz w:val="24"/>
          <w:szCs w:val="24"/>
        </w:rPr>
        <w:t>Cash flows from operating activities has remained relatively stable over the previous three years, while cash flows from investing activities has fallen from 2023, but still exceeds 2022 figures. These results are largely driven by....</w:t>
      </w:r>
    </w:p>
    <w:p w14:paraId="4DF6B305" w14:textId="77777777" w:rsidR="00927E8C" w:rsidRDefault="00927E8C" w:rsidP="00E37ACE">
      <w:pPr>
        <w:pStyle w:val="ListParagraph"/>
        <w:ind w:left="360"/>
        <w:jc w:val="both"/>
        <w:rPr>
          <w:rFonts w:ascii="Times New Roman" w:hAnsi="Times New Roman" w:cs="Times New Roman"/>
          <w:bCs/>
          <w:sz w:val="24"/>
          <w:szCs w:val="24"/>
        </w:rPr>
      </w:pPr>
    </w:p>
    <w:p w14:paraId="5BC56642" w14:textId="12EF87DF" w:rsidR="00927E8C" w:rsidRDefault="00927E8C" w:rsidP="00E37ACE">
      <w:pPr>
        <w:pStyle w:val="ListParagraph"/>
        <w:ind w:left="360"/>
        <w:jc w:val="both"/>
        <w:rPr>
          <w:rFonts w:ascii="Times New Roman" w:hAnsi="Times New Roman" w:cs="Times New Roman"/>
          <w:bCs/>
          <w:sz w:val="24"/>
          <w:szCs w:val="24"/>
        </w:rPr>
      </w:pPr>
      <w:r>
        <w:rPr>
          <w:rFonts w:ascii="Times New Roman" w:hAnsi="Times New Roman" w:cs="Times New Roman"/>
          <w:bCs/>
          <w:sz w:val="24"/>
          <w:szCs w:val="24"/>
        </w:rPr>
        <w:t>Cash outflows from financing activities of $297 million in 2024 is substantially lower than in the previous two years, indicating that management.... While additions to long-term debt w</w:t>
      </w:r>
      <w:r w:rsidR="00AD6A8C">
        <w:rPr>
          <w:rFonts w:ascii="Times New Roman" w:hAnsi="Times New Roman" w:cs="Times New Roman"/>
          <w:bCs/>
          <w:sz w:val="24"/>
          <w:szCs w:val="24"/>
        </w:rPr>
        <w:t xml:space="preserve">ere </w:t>
      </w:r>
      <w:r>
        <w:rPr>
          <w:rFonts w:ascii="Times New Roman" w:hAnsi="Times New Roman" w:cs="Times New Roman"/>
          <w:bCs/>
          <w:sz w:val="24"/>
          <w:szCs w:val="24"/>
        </w:rPr>
        <w:t>sizable, repayments of older debt and repurchases...</w:t>
      </w:r>
    </w:p>
    <w:p w14:paraId="19357B18" w14:textId="77777777" w:rsidR="00927E8C" w:rsidRDefault="00927E8C" w:rsidP="00E37ACE">
      <w:pPr>
        <w:pStyle w:val="ListParagraph"/>
        <w:ind w:left="360"/>
        <w:jc w:val="both"/>
        <w:rPr>
          <w:rFonts w:ascii="Times New Roman" w:hAnsi="Times New Roman" w:cs="Times New Roman"/>
          <w:bCs/>
          <w:sz w:val="24"/>
          <w:szCs w:val="24"/>
        </w:rPr>
      </w:pPr>
    </w:p>
    <w:p w14:paraId="698722A4" w14:textId="1C17539E" w:rsidR="00927E8C" w:rsidRDefault="00927E8C" w:rsidP="00E37ACE">
      <w:pPr>
        <w:pStyle w:val="ListParagraph"/>
        <w:ind w:left="360"/>
        <w:jc w:val="both"/>
        <w:rPr>
          <w:rFonts w:ascii="Times New Roman" w:hAnsi="Times New Roman" w:cs="Times New Roman"/>
          <w:bCs/>
          <w:sz w:val="24"/>
          <w:szCs w:val="24"/>
        </w:rPr>
      </w:pPr>
      <w:r>
        <w:rPr>
          <w:rFonts w:ascii="Times New Roman" w:hAnsi="Times New Roman" w:cs="Times New Roman"/>
          <w:bCs/>
          <w:sz w:val="24"/>
          <w:szCs w:val="24"/>
        </w:rPr>
        <w:t>Markel, and in particular Markel Ventures, is likely to use NPV and IRR analysis when considering investment opportunities. Management specifically discusses investments in Educational Partners International, Valor Environmental,...</w:t>
      </w:r>
    </w:p>
    <w:p w14:paraId="3A2FA0B1" w14:textId="77777777" w:rsidR="00927E8C" w:rsidRDefault="00927E8C" w:rsidP="00E37ACE">
      <w:pPr>
        <w:pStyle w:val="ListParagraph"/>
        <w:ind w:left="360"/>
        <w:jc w:val="both"/>
        <w:rPr>
          <w:rFonts w:ascii="Times New Roman" w:hAnsi="Times New Roman" w:cs="Times New Roman"/>
          <w:bCs/>
          <w:sz w:val="24"/>
          <w:szCs w:val="24"/>
        </w:rPr>
      </w:pPr>
    </w:p>
    <w:p w14:paraId="0905182D" w14:textId="596D875F" w:rsidR="00927E8C" w:rsidRDefault="00927E8C" w:rsidP="00E37ACE">
      <w:pPr>
        <w:pStyle w:val="ListParagraph"/>
        <w:ind w:left="360"/>
        <w:jc w:val="both"/>
        <w:rPr>
          <w:rFonts w:ascii="Times New Roman" w:hAnsi="Times New Roman" w:cs="Times New Roman"/>
          <w:bCs/>
          <w:sz w:val="24"/>
          <w:szCs w:val="24"/>
        </w:rPr>
      </w:pPr>
      <w:r>
        <w:rPr>
          <w:rFonts w:ascii="Times New Roman" w:hAnsi="Times New Roman" w:cs="Times New Roman"/>
          <w:bCs/>
          <w:sz w:val="24"/>
          <w:szCs w:val="24"/>
        </w:rPr>
        <w:lastRenderedPageBreak/>
        <w:t>Management states that Markel Ventures seeks to invest in “profitable companies, with honest and talented management...”</w:t>
      </w:r>
    </w:p>
    <w:p w14:paraId="2606DE53" w14:textId="77777777" w:rsidR="0023373B" w:rsidRDefault="0023373B" w:rsidP="00E37ACE">
      <w:pPr>
        <w:pStyle w:val="ListParagraph"/>
        <w:ind w:left="360"/>
        <w:jc w:val="both"/>
        <w:rPr>
          <w:rFonts w:ascii="Times New Roman" w:hAnsi="Times New Roman" w:cs="Times New Roman"/>
          <w:bCs/>
          <w:sz w:val="24"/>
          <w:szCs w:val="24"/>
        </w:rPr>
      </w:pPr>
    </w:p>
    <w:p w14:paraId="3126FB33" w14:textId="75410814" w:rsidR="00231F88" w:rsidRPr="008A790D" w:rsidRDefault="008A790D" w:rsidP="008A790D">
      <w:pPr>
        <w:pStyle w:val="Heading1"/>
        <w:spacing w:after="90"/>
        <w:rPr>
          <w:color w:val="6F7479"/>
          <w:sz w:val="28"/>
          <w:szCs w:val="28"/>
        </w:rPr>
      </w:pPr>
      <w:r w:rsidRPr="00760A11">
        <w:rPr>
          <w:color w:val="6F7479"/>
          <w:sz w:val="28"/>
          <w:szCs w:val="28"/>
        </w:rPr>
        <w:t xml:space="preserve">Using the </w:t>
      </w:r>
      <w:r>
        <w:rPr>
          <w:color w:val="6F7479"/>
          <w:sz w:val="28"/>
          <w:szCs w:val="28"/>
        </w:rPr>
        <w:t>10-Q</w:t>
      </w:r>
      <w:r w:rsidRPr="00760A11">
        <w:rPr>
          <w:color w:val="6F7479"/>
          <w:sz w:val="28"/>
          <w:szCs w:val="28"/>
        </w:rPr>
        <w:t>s:</w:t>
      </w:r>
    </w:p>
    <w:p w14:paraId="035156BA" w14:textId="77777777" w:rsidR="00E80726" w:rsidRPr="00E80726" w:rsidRDefault="00E80726" w:rsidP="00E80726">
      <w:pPr>
        <w:pStyle w:val="ListParagraph"/>
        <w:numPr>
          <w:ilvl w:val="0"/>
          <w:numId w:val="12"/>
        </w:numPr>
        <w:ind w:left="360"/>
        <w:jc w:val="both"/>
        <w:rPr>
          <w:rFonts w:ascii="Times New Roman" w:hAnsi="Times New Roman" w:cs="Times New Roman"/>
          <w:b/>
          <w:bCs/>
          <w:sz w:val="24"/>
          <w:szCs w:val="24"/>
        </w:rPr>
      </w:pPr>
      <w:bookmarkStart w:id="2" w:name="_Hlk204710776"/>
      <w:r w:rsidRPr="00E80726">
        <w:rPr>
          <w:rFonts w:ascii="Times New Roman" w:hAnsi="Times New Roman" w:cs="Times New Roman"/>
          <w:b/>
          <w:bCs/>
          <w:sz w:val="24"/>
          <w:szCs w:val="24"/>
        </w:rPr>
        <w:t>Provide a screenshot of the income statement that shows this quarter’s results with the quarter over the same period a year ago. Discuss any significant differences and management’s explanation in the MD&amp;A for those differences. Why do you think the 10-Q compares results relative to the same period a year ago and not relative to the previous quarter?</w:t>
      </w:r>
    </w:p>
    <w:bookmarkEnd w:id="2"/>
    <w:p w14:paraId="2144F657" w14:textId="46FAD427" w:rsidR="00A91D8E" w:rsidRPr="00A91D8E" w:rsidRDefault="00A91D8E" w:rsidP="008A790D">
      <w:pPr>
        <w:pStyle w:val="ListParagraph"/>
        <w:ind w:left="360"/>
        <w:jc w:val="both"/>
        <w:rPr>
          <w:rFonts w:ascii="Times New Roman" w:hAnsi="Times New Roman" w:cs="Times New Roman"/>
          <w:b/>
          <w:bCs/>
          <w:sz w:val="24"/>
          <w:szCs w:val="24"/>
        </w:rPr>
      </w:pPr>
    </w:p>
    <w:p w14:paraId="20D73910" w14:textId="47D2172D" w:rsidR="00231F88" w:rsidRDefault="008A790D" w:rsidP="00E43D56">
      <w:pPr>
        <w:pStyle w:val="ListParagraph"/>
        <w:ind w:left="360"/>
        <w:jc w:val="center"/>
        <w:rPr>
          <w:rFonts w:ascii="Times New Roman" w:hAnsi="Times New Roman" w:cs="Times New Roman"/>
          <w:bCs/>
          <w:sz w:val="24"/>
          <w:szCs w:val="24"/>
        </w:rPr>
      </w:pPr>
      <w:r w:rsidRPr="008A790D">
        <w:rPr>
          <w:rFonts w:ascii="Times New Roman" w:hAnsi="Times New Roman" w:cs="Times New Roman"/>
          <w:bCs/>
          <w:sz w:val="24"/>
          <w:szCs w:val="24"/>
        </w:rPr>
        <w:drawing>
          <wp:inline distT="0" distB="0" distL="0" distR="0" wp14:anchorId="61CFE745" wp14:editId="20F6E7C2">
            <wp:extent cx="5475124" cy="6048375"/>
            <wp:effectExtent l="0" t="0" r="0" b="0"/>
            <wp:docPr id="193347340" name="Picture 1" descr="A screenshot of a repo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47340" name="Picture 1" descr="A screenshot of a report&#10;&#10;AI-generated content may be incorrect."/>
                    <pic:cNvPicPr/>
                  </pic:nvPicPr>
                  <pic:blipFill>
                    <a:blip r:embed="rId9"/>
                    <a:stretch>
                      <a:fillRect/>
                    </a:stretch>
                  </pic:blipFill>
                  <pic:spPr>
                    <a:xfrm>
                      <a:off x="0" y="0"/>
                      <a:ext cx="5477574" cy="6051082"/>
                    </a:xfrm>
                    <a:prstGeom prst="rect">
                      <a:avLst/>
                    </a:prstGeom>
                  </pic:spPr>
                </pic:pic>
              </a:graphicData>
            </a:graphic>
          </wp:inline>
        </w:drawing>
      </w:r>
    </w:p>
    <w:p w14:paraId="137AA91B" w14:textId="5DDFB7B1" w:rsidR="00880114" w:rsidRDefault="008A790D" w:rsidP="00E37ACE">
      <w:pPr>
        <w:pStyle w:val="ListParagraph"/>
        <w:ind w:left="36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There is a sizable reduction in Net Income for the three months ended March 31 </w:t>
      </w:r>
      <w:r w:rsidR="003D0D14">
        <w:rPr>
          <w:rFonts w:ascii="Times New Roman" w:hAnsi="Times New Roman" w:cs="Times New Roman"/>
          <w:bCs/>
          <w:sz w:val="24"/>
          <w:szCs w:val="24"/>
        </w:rPr>
        <w:t>of</w:t>
      </w:r>
      <w:r>
        <w:rPr>
          <w:rFonts w:ascii="Times New Roman" w:hAnsi="Times New Roman" w:cs="Times New Roman"/>
          <w:bCs/>
          <w:sz w:val="24"/>
          <w:szCs w:val="24"/>
        </w:rPr>
        <w:t xml:space="preserve"> 2024 </w:t>
      </w:r>
      <w:r w:rsidR="003D0D14">
        <w:rPr>
          <w:rFonts w:ascii="Times New Roman" w:hAnsi="Times New Roman" w:cs="Times New Roman"/>
          <w:bCs/>
          <w:sz w:val="24"/>
          <w:szCs w:val="24"/>
        </w:rPr>
        <w:t>and</w:t>
      </w:r>
      <w:r>
        <w:rPr>
          <w:rFonts w:ascii="Times New Roman" w:hAnsi="Times New Roman" w:cs="Times New Roman"/>
          <w:bCs/>
          <w:sz w:val="24"/>
          <w:szCs w:val="24"/>
        </w:rPr>
        <w:t xml:space="preserve"> 2025. </w:t>
      </w:r>
      <w:r w:rsidR="003D0D14">
        <w:rPr>
          <w:rFonts w:ascii="Times New Roman" w:hAnsi="Times New Roman" w:cs="Times New Roman"/>
          <w:bCs/>
          <w:sz w:val="24"/>
          <w:szCs w:val="24"/>
        </w:rPr>
        <w:t>Management states that the decrease was “primarily due to pre-tax net investment losses of $147.2 million on our equity securities during the quarter compared to pre-tax net investment gains on our equity securities of $906.8 million in the same period of 2024.” Underwriting result premiums improved...</w:t>
      </w:r>
    </w:p>
    <w:p w14:paraId="39AF36C0" w14:textId="77777777" w:rsidR="003D0D14" w:rsidRDefault="003D0D14" w:rsidP="00E37ACE">
      <w:pPr>
        <w:pStyle w:val="ListParagraph"/>
        <w:ind w:left="360"/>
        <w:jc w:val="both"/>
        <w:rPr>
          <w:rFonts w:ascii="Times New Roman" w:hAnsi="Times New Roman" w:cs="Times New Roman"/>
          <w:bCs/>
          <w:sz w:val="24"/>
          <w:szCs w:val="24"/>
        </w:rPr>
      </w:pPr>
    </w:p>
    <w:p w14:paraId="1393FAD4" w14:textId="00C7C25C" w:rsidR="003D0D14" w:rsidRDefault="003D0D14" w:rsidP="00E37ACE">
      <w:pPr>
        <w:pStyle w:val="ListParagraph"/>
        <w:ind w:left="360"/>
        <w:jc w:val="both"/>
        <w:rPr>
          <w:rFonts w:ascii="Times New Roman" w:hAnsi="Times New Roman" w:cs="Times New Roman"/>
          <w:bCs/>
          <w:sz w:val="24"/>
          <w:szCs w:val="24"/>
        </w:rPr>
      </w:pPr>
      <w:r>
        <w:rPr>
          <w:rFonts w:ascii="Times New Roman" w:hAnsi="Times New Roman" w:cs="Times New Roman"/>
          <w:bCs/>
          <w:sz w:val="24"/>
          <w:szCs w:val="24"/>
        </w:rPr>
        <w:t>Markel, like other firms, is subject to cyclicality in its operations. For that reason...</w:t>
      </w:r>
    </w:p>
    <w:p w14:paraId="630BD9D6" w14:textId="77777777" w:rsidR="008A790D" w:rsidRDefault="008A790D" w:rsidP="00E37ACE">
      <w:pPr>
        <w:pStyle w:val="ListParagraph"/>
        <w:ind w:left="360"/>
        <w:jc w:val="both"/>
        <w:rPr>
          <w:rFonts w:ascii="Times New Roman" w:hAnsi="Times New Roman" w:cs="Times New Roman"/>
          <w:bCs/>
          <w:sz w:val="24"/>
          <w:szCs w:val="24"/>
        </w:rPr>
      </w:pPr>
    </w:p>
    <w:p w14:paraId="60A877E9" w14:textId="77777777" w:rsidR="00C15B8D" w:rsidRDefault="00C15B8D" w:rsidP="00C15B8D">
      <w:pPr>
        <w:pStyle w:val="Heading1"/>
        <w:spacing w:after="90"/>
        <w:rPr>
          <w:color w:val="6F7479"/>
          <w:sz w:val="28"/>
          <w:szCs w:val="28"/>
        </w:rPr>
      </w:pPr>
      <w:r>
        <w:rPr>
          <w:color w:val="6F7479"/>
          <w:sz w:val="28"/>
          <w:szCs w:val="28"/>
        </w:rPr>
        <w:t>Using the Earnings Call Transcript</w:t>
      </w:r>
      <w:r w:rsidRPr="000500B5">
        <w:rPr>
          <w:color w:val="6F7479"/>
          <w:sz w:val="28"/>
          <w:szCs w:val="28"/>
        </w:rPr>
        <w:t>:</w:t>
      </w:r>
    </w:p>
    <w:p w14:paraId="0097EDE9" w14:textId="77777777" w:rsidR="00E80726" w:rsidRPr="00E80726" w:rsidRDefault="00E80726" w:rsidP="00E80726">
      <w:pPr>
        <w:pStyle w:val="ListParagraph"/>
        <w:numPr>
          <w:ilvl w:val="0"/>
          <w:numId w:val="12"/>
        </w:numPr>
        <w:ind w:left="360"/>
        <w:jc w:val="both"/>
        <w:rPr>
          <w:rFonts w:ascii="Times New Roman" w:hAnsi="Times New Roman" w:cs="Times New Roman"/>
          <w:b/>
          <w:bCs/>
          <w:sz w:val="24"/>
          <w:szCs w:val="24"/>
        </w:rPr>
      </w:pPr>
      <w:r w:rsidRPr="00E80726">
        <w:rPr>
          <w:rFonts w:ascii="Times New Roman" w:hAnsi="Times New Roman" w:cs="Times New Roman"/>
          <w:b/>
          <w:bCs/>
          <w:sz w:val="24"/>
          <w:szCs w:val="24"/>
        </w:rPr>
        <w:t>What are the key topics that management is discussing in its most recent earnings call? What are the types of questions analysts on the call are asking? Do you think management answers the questions well? What’s the overall “sentiment” of the call?</w:t>
      </w:r>
    </w:p>
    <w:p w14:paraId="515556F0" w14:textId="712A119A" w:rsidR="001B4991" w:rsidRDefault="001D57C3" w:rsidP="001D57C3">
      <w:pPr>
        <w:ind w:left="360"/>
        <w:jc w:val="both"/>
        <w:rPr>
          <w:rFonts w:ascii="Times New Roman" w:hAnsi="Times New Roman" w:cs="Times New Roman"/>
          <w:sz w:val="24"/>
          <w:szCs w:val="24"/>
        </w:rPr>
      </w:pPr>
      <w:r w:rsidRPr="001D57C3">
        <w:rPr>
          <w:rFonts w:ascii="Times New Roman" w:hAnsi="Times New Roman" w:cs="Times New Roman"/>
          <w:sz w:val="24"/>
          <w:szCs w:val="24"/>
        </w:rPr>
        <w:t xml:space="preserve">The key </w:t>
      </w:r>
      <w:r>
        <w:rPr>
          <w:rFonts w:ascii="Times New Roman" w:hAnsi="Times New Roman" w:cs="Times New Roman"/>
          <w:sz w:val="24"/>
          <w:szCs w:val="24"/>
        </w:rPr>
        <w:t>topics management is discussing include:</w:t>
      </w:r>
    </w:p>
    <w:p w14:paraId="2634D959" w14:textId="1A7E4EB8" w:rsidR="001D57C3" w:rsidRPr="001D57C3" w:rsidRDefault="001D57C3" w:rsidP="001D57C3">
      <w:pPr>
        <w:pStyle w:val="ListParagraph"/>
        <w:numPr>
          <w:ilvl w:val="3"/>
          <w:numId w:val="12"/>
        </w:numPr>
        <w:ind w:left="1080"/>
        <w:jc w:val="both"/>
        <w:rPr>
          <w:rFonts w:ascii="Times New Roman" w:hAnsi="Times New Roman" w:cs="Times New Roman"/>
          <w:sz w:val="24"/>
          <w:szCs w:val="24"/>
        </w:rPr>
      </w:pPr>
      <w:r w:rsidRPr="001D57C3">
        <w:rPr>
          <w:rFonts w:ascii="Times New Roman" w:hAnsi="Times New Roman" w:cs="Times New Roman"/>
          <w:b/>
          <w:bCs/>
          <w:sz w:val="24"/>
          <w:szCs w:val="24"/>
        </w:rPr>
        <w:t>Leadership Transition &amp; Strategic Vision</w:t>
      </w:r>
      <w:r w:rsidRPr="001D57C3">
        <w:rPr>
          <w:rFonts w:ascii="Times New Roman" w:hAnsi="Times New Roman" w:cs="Times New Roman"/>
          <w:sz w:val="24"/>
          <w:szCs w:val="24"/>
        </w:rPr>
        <w:t>: Appointment of Simon Wilson as CEO of Markel Insurance, emphasizing simplification, efficiency, and focus on U.S. wholesale/specialty.</w:t>
      </w:r>
    </w:p>
    <w:p w14:paraId="54830060" w14:textId="76549166" w:rsidR="001D57C3" w:rsidRPr="001D57C3" w:rsidRDefault="001D57C3" w:rsidP="001D57C3">
      <w:pPr>
        <w:pStyle w:val="ListParagraph"/>
        <w:numPr>
          <w:ilvl w:val="3"/>
          <w:numId w:val="12"/>
        </w:numPr>
        <w:ind w:left="1080"/>
        <w:jc w:val="both"/>
        <w:rPr>
          <w:rFonts w:ascii="Times New Roman" w:hAnsi="Times New Roman" w:cs="Times New Roman"/>
          <w:sz w:val="24"/>
          <w:szCs w:val="24"/>
        </w:rPr>
      </w:pPr>
      <w:r w:rsidRPr="001D57C3">
        <w:rPr>
          <w:rFonts w:ascii="Times New Roman" w:hAnsi="Times New Roman" w:cs="Times New Roman"/>
          <w:b/>
          <w:bCs/>
          <w:sz w:val="24"/>
          <w:szCs w:val="24"/>
        </w:rPr>
        <w:t>Capital Allocation</w:t>
      </w:r>
      <w:r w:rsidRPr="001D57C3">
        <w:rPr>
          <w:rFonts w:ascii="Times New Roman" w:hAnsi="Times New Roman" w:cs="Times New Roman"/>
          <w:sz w:val="24"/>
          <w:szCs w:val="24"/>
        </w:rPr>
        <w:t>: Deployment across share buybacks, equity purchases, and interest payments with a long-term focus on double-digit returns.</w:t>
      </w:r>
    </w:p>
    <w:p w14:paraId="40B242EF" w14:textId="27854E8F" w:rsidR="001D57C3" w:rsidRPr="001D57C3" w:rsidRDefault="001D57C3" w:rsidP="001D57C3">
      <w:pPr>
        <w:pStyle w:val="ListParagraph"/>
        <w:numPr>
          <w:ilvl w:val="3"/>
          <w:numId w:val="12"/>
        </w:numPr>
        <w:ind w:left="1080"/>
        <w:jc w:val="both"/>
        <w:rPr>
          <w:rFonts w:ascii="Times New Roman" w:hAnsi="Times New Roman" w:cs="Times New Roman"/>
          <w:sz w:val="24"/>
          <w:szCs w:val="24"/>
        </w:rPr>
      </w:pPr>
      <w:r w:rsidRPr="001D57C3">
        <w:rPr>
          <w:rFonts w:ascii="Times New Roman" w:hAnsi="Times New Roman" w:cs="Times New Roman"/>
          <w:b/>
          <w:bCs/>
          <w:sz w:val="24"/>
          <w:szCs w:val="24"/>
        </w:rPr>
        <w:t>Insurance Operations</w:t>
      </w:r>
      <w:r w:rsidRPr="001D57C3">
        <w:rPr>
          <w:rFonts w:ascii="Times New Roman" w:hAnsi="Times New Roman" w:cs="Times New Roman"/>
          <w:sz w:val="24"/>
          <w:szCs w:val="24"/>
        </w:rPr>
        <w:t>: Moderate growth, improved attritional loss ratio, and reduced catastrophe exposure due to past re-underwriting efforts.</w:t>
      </w:r>
    </w:p>
    <w:p w14:paraId="11BE9F6C" w14:textId="7FA2E703" w:rsidR="001D57C3" w:rsidRPr="001D57C3" w:rsidRDefault="001D57C3" w:rsidP="001D57C3">
      <w:pPr>
        <w:pStyle w:val="ListParagraph"/>
        <w:numPr>
          <w:ilvl w:val="3"/>
          <w:numId w:val="12"/>
        </w:numPr>
        <w:ind w:left="1080"/>
        <w:jc w:val="both"/>
        <w:rPr>
          <w:rFonts w:ascii="Times New Roman" w:hAnsi="Times New Roman" w:cs="Times New Roman"/>
          <w:sz w:val="24"/>
          <w:szCs w:val="24"/>
        </w:rPr>
      </w:pPr>
      <w:r w:rsidRPr="001D57C3">
        <w:rPr>
          <w:rFonts w:ascii="Times New Roman" w:hAnsi="Times New Roman" w:cs="Times New Roman"/>
          <w:b/>
          <w:bCs/>
          <w:sz w:val="24"/>
          <w:szCs w:val="24"/>
        </w:rPr>
        <w:t>Markel Ventures</w:t>
      </w:r>
      <w:r w:rsidRPr="001D57C3">
        <w:rPr>
          <w:rFonts w:ascii="Times New Roman" w:hAnsi="Times New Roman" w:cs="Times New Roman"/>
          <w:sz w:val="24"/>
          <w:szCs w:val="24"/>
        </w:rPr>
        <w:t>: Flat revenue, but viewed as steady and resilient</w:t>
      </w:r>
      <w:r>
        <w:rPr>
          <w:rFonts w:ascii="Times New Roman" w:hAnsi="Times New Roman" w:cs="Times New Roman"/>
          <w:sz w:val="24"/>
          <w:szCs w:val="24"/>
        </w:rPr>
        <w:t>.</w:t>
      </w:r>
    </w:p>
    <w:p w14:paraId="58F6A87B" w14:textId="68D5A6FA" w:rsidR="001D57C3" w:rsidRPr="001D57C3" w:rsidRDefault="001D57C3" w:rsidP="001D57C3">
      <w:pPr>
        <w:pStyle w:val="ListParagraph"/>
        <w:numPr>
          <w:ilvl w:val="0"/>
          <w:numId w:val="12"/>
        </w:numPr>
        <w:jc w:val="both"/>
        <w:rPr>
          <w:rFonts w:ascii="Times New Roman" w:hAnsi="Times New Roman" w:cs="Times New Roman"/>
          <w:sz w:val="24"/>
          <w:szCs w:val="24"/>
        </w:rPr>
      </w:pPr>
      <w:r w:rsidRPr="001D57C3">
        <w:rPr>
          <w:rFonts w:ascii="Times New Roman" w:hAnsi="Times New Roman" w:cs="Times New Roman"/>
          <w:b/>
          <w:bCs/>
          <w:sz w:val="24"/>
          <w:szCs w:val="24"/>
        </w:rPr>
        <w:t>Expense Management</w:t>
      </w:r>
      <w:r w:rsidRPr="001D57C3">
        <w:rPr>
          <w:rFonts w:ascii="Times New Roman" w:hAnsi="Times New Roman" w:cs="Times New Roman"/>
          <w:sz w:val="24"/>
          <w:szCs w:val="24"/>
        </w:rPr>
        <w:t>: Commitment to reducing expense ratio through operational realignment and simplification.</w:t>
      </w:r>
    </w:p>
    <w:p w14:paraId="09AA6402" w14:textId="40239027" w:rsidR="001D57C3" w:rsidRDefault="001D57C3" w:rsidP="001D57C3">
      <w:pPr>
        <w:pStyle w:val="ListParagraph"/>
        <w:numPr>
          <w:ilvl w:val="0"/>
          <w:numId w:val="12"/>
        </w:numPr>
        <w:jc w:val="both"/>
        <w:rPr>
          <w:rFonts w:ascii="Times New Roman" w:hAnsi="Times New Roman" w:cs="Times New Roman"/>
          <w:sz w:val="24"/>
          <w:szCs w:val="24"/>
        </w:rPr>
      </w:pPr>
      <w:r w:rsidRPr="001D57C3">
        <w:rPr>
          <w:rFonts w:ascii="Times New Roman" w:hAnsi="Times New Roman" w:cs="Times New Roman"/>
          <w:b/>
          <w:bCs/>
          <w:sz w:val="24"/>
          <w:szCs w:val="24"/>
        </w:rPr>
        <w:t>Investment Results</w:t>
      </w:r>
      <w:r w:rsidRPr="001D57C3">
        <w:rPr>
          <w:rFonts w:ascii="Times New Roman" w:hAnsi="Times New Roman" w:cs="Times New Roman"/>
          <w:sz w:val="24"/>
          <w:szCs w:val="24"/>
        </w:rPr>
        <w:t>: Q1 impacted by equity market softness, but long-term gains and rising fixed income yields highlighted.</w:t>
      </w:r>
    </w:p>
    <w:p w14:paraId="42F04A60" w14:textId="61ABECF1" w:rsidR="001D57C3" w:rsidRDefault="001D57C3" w:rsidP="001D57C3">
      <w:pPr>
        <w:ind w:left="360"/>
        <w:jc w:val="both"/>
        <w:rPr>
          <w:rFonts w:ascii="Times New Roman" w:hAnsi="Times New Roman" w:cs="Times New Roman"/>
          <w:sz w:val="24"/>
          <w:szCs w:val="24"/>
        </w:rPr>
      </w:pPr>
      <w:r>
        <w:rPr>
          <w:rFonts w:ascii="Times New Roman" w:hAnsi="Times New Roman" w:cs="Times New Roman"/>
          <w:sz w:val="24"/>
          <w:szCs w:val="24"/>
        </w:rPr>
        <w:t>Analysts asked about...</w:t>
      </w:r>
    </w:p>
    <w:p w14:paraId="15AA4750" w14:textId="2B75B1ED" w:rsidR="001D57C3" w:rsidRPr="001D57C3" w:rsidRDefault="001D57C3" w:rsidP="001D57C3">
      <w:pPr>
        <w:ind w:left="360"/>
        <w:jc w:val="both"/>
        <w:rPr>
          <w:rFonts w:ascii="Times New Roman" w:hAnsi="Times New Roman" w:cs="Times New Roman"/>
          <w:sz w:val="24"/>
          <w:szCs w:val="24"/>
        </w:rPr>
      </w:pPr>
      <w:r>
        <w:rPr>
          <w:rFonts w:ascii="Times New Roman" w:hAnsi="Times New Roman" w:cs="Times New Roman"/>
          <w:sz w:val="24"/>
          <w:szCs w:val="24"/>
        </w:rPr>
        <w:t>In my opinion, management did an adequate job in addressing questions. However, management could have...</w:t>
      </w:r>
    </w:p>
    <w:p w14:paraId="013DA047" w14:textId="77777777" w:rsidR="00C044D2" w:rsidRPr="000500B5" w:rsidRDefault="00C044D2" w:rsidP="00C044D2">
      <w:pPr>
        <w:pStyle w:val="Heading1"/>
        <w:spacing w:after="90"/>
        <w:rPr>
          <w:color w:val="6F7479"/>
          <w:sz w:val="28"/>
          <w:szCs w:val="28"/>
        </w:rPr>
      </w:pPr>
      <w:r>
        <w:rPr>
          <w:color w:val="6F7479"/>
          <w:sz w:val="28"/>
          <w:szCs w:val="28"/>
        </w:rPr>
        <w:t>Using the DEF14A (Proxy Statement)</w:t>
      </w:r>
      <w:r w:rsidRPr="000500B5">
        <w:rPr>
          <w:color w:val="6F7479"/>
          <w:sz w:val="28"/>
          <w:szCs w:val="28"/>
        </w:rPr>
        <w:t>:</w:t>
      </w:r>
    </w:p>
    <w:p w14:paraId="73A9DC37" w14:textId="154F35BA" w:rsidR="00E80726" w:rsidRDefault="00E80726" w:rsidP="00E80726">
      <w:pPr>
        <w:pStyle w:val="ListParagraph"/>
        <w:numPr>
          <w:ilvl w:val="0"/>
          <w:numId w:val="21"/>
        </w:numPr>
        <w:jc w:val="both"/>
        <w:rPr>
          <w:rFonts w:ascii="Times New Roman" w:hAnsi="Times New Roman" w:cs="Times New Roman"/>
          <w:b/>
          <w:bCs/>
          <w:sz w:val="24"/>
          <w:szCs w:val="24"/>
        </w:rPr>
      </w:pPr>
      <w:bookmarkStart w:id="3" w:name="_Hlk123489439"/>
      <w:r w:rsidRPr="00E80726">
        <w:rPr>
          <w:rFonts w:ascii="Times New Roman" w:hAnsi="Times New Roman" w:cs="Times New Roman"/>
          <w:b/>
          <w:bCs/>
          <w:sz w:val="24"/>
          <w:szCs w:val="24"/>
        </w:rPr>
        <w:t>In a table, list the items up for election (the “Proposals”) on the DEF14A. List if each is submitted by the firm or by the firm’s shareholders (“Sponsor”), as well as the directors’ recommendation (“Recommendation”) on how shareholders should cast their votes. List how you would vote on each item and explain why.</w:t>
      </w:r>
    </w:p>
    <w:p w14:paraId="30EB27D7" w14:textId="77777777" w:rsidR="00224B2C" w:rsidRDefault="00224B2C" w:rsidP="00224B2C">
      <w:pPr>
        <w:jc w:val="both"/>
        <w:rPr>
          <w:rFonts w:ascii="Times New Roman" w:hAnsi="Times New Roman" w:cs="Times New Roman"/>
          <w:b/>
          <w:bCs/>
          <w:sz w:val="24"/>
          <w:szCs w:val="24"/>
        </w:rPr>
      </w:pPr>
    </w:p>
    <w:p w14:paraId="7D6ECBDF" w14:textId="77777777" w:rsidR="00224B2C" w:rsidRDefault="00224B2C" w:rsidP="00224B2C">
      <w:pPr>
        <w:jc w:val="both"/>
        <w:rPr>
          <w:rFonts w:ascii="Times New Roman" w:hAnsi="Times New Roman" w:cs="Times New Roman"/>
          <w:b/>
          <w:bCs/>
          <w:sz w:val="24"/>
          <w:szCs w:val="24"/>
        </w:rPr>
      </w:pPr>
    </w:p>
    <w:p w14:paraId="54C53E7F" w14:textId="77777777" w:rsidR="00224B2C" w:rsidRDefault="00224B2C" w:rsidP="00224B2C">
      <w:pPr>
        <w:jc w:val="both"/>
        <w:rPr>
          <w:rFonts w:ascii="Times New Roman" w:hAnsi="Times New Roman" w:cs="Times New Roman"/>
          <w:b/>
          <w:bCs/>
          <w:sz w:val="24"/>
          <w:szCs w:val="24"/>
        </w:rPr>
      </w:pPr>
    </w:p>
    <w:p w14:paraId="7182F7B5" w14:textId="77777777" w:rsidR="00224B2C" w:rsidRPr="00224B2C" w:rsidRDefault="00224B2C" w:rsidP="00224B2C">
      <w:pPr>
        <w:jc w:val="both"/>
        <w:rPr>
          <w:rFonts w:ascii="Times New Roman" w:hAnsi="Times New Roman" w:cs="Times New Roman"/>
          <w:b/>
          <w:bCs/>
          <w:sz w:val="24"/>
          <w:szCs w:val="24"/>
        </w:rPr>
      </w:pPr>
    </w:p>
    <w:bookmarkEnd w:id="3"/>
    <w:p w14:paraId="04886CA0" w14:textId="7040FC94" w:rsidR="00C044D2" w:rsidRPr="00FE5D05" w:rsidRDefault="005B0C26" w:rsidP="00C044D2">
      <w:pPr>
        <w:jc w:val="center"/>
        <w:rPr>
          <w:rFonts w:ascii="Times New Roman" w:hAnsi="Times New Roman" w:cs="Times New Roman"/>
          <w:b/>
          <w:sz w:val="24"/>
          <w:szCs w:val="24"/>
        </w:rPr>
      </w:pPr>
      <w:r>
        <w:rPr>
          <w:rFonts w:ascii="Times New Roman" w:hAnsi="Times New Roman" w:cs="Times New Roman"/>
          <w:b/>
          <w:bCs/>
          <w:sz w:val="24"/>
          <w:szCs w:val="24"/>
        </w:rPr>
        <w:lastRenderedPageBreak/>
        <w:t>Voting Items</w:t>
      </w:r>
    </w:p>
    <w:tbl>
      <w:tblPr>
        <w:tblStyle w:val="TableGrid"/>
        <w:tblW w:w="0" w:type="auto"/>
        <w:jc w:val="center"/>
        <w:tblLook w:val="04A0" w:firstRow="1" w:lastRow="0" w:firstColumn="1" w:lastColumn="0" w:noHBand="0" w:noVBand="1"/>
      </w:tblPr>
      <w:tblGrid>
        <w:gridCol w:w="4495"/>
        <w:gridCol w:w="1376"/>
        <w:gridCol w:w="2016"/>
        <w:gridCol w:w="1270"/>
      </w:tblGrid>
      <w:tr w:rsidR="00167109" w:rsidRPr="00FE5D05" w14:paraId="3ADA546B" w14:textId="715253E9" w:rsidTr="00167109">
        <w:trPr>
          <w:jc w:val="center"/>
        </w:trPr>
        <w:tc>
          <w:tcPr>
            <w:tcW w:w="0" w:type="auto"/>
            <w:tcBorders>
              <w:top w:val="single" w:sz="4" w:space="0" w:color="auto"/>
              <w:left w:val="nil"/>
              <w:bottom w:val="single" w:sz="4" w:space="0" w:color="auto"/>
              <w:right w:val="nil"/>
            </w:tcBorders>
          </w:tcPr>
          <w:p w14:paraId="00BBE2B6" w14:textId="77777777" w:rsidR="00167109" w:rsidRPr="00FE5D05" w:rsidRDefault="00167109" w:rsidP="00C140A3">
            <w:pPr>
              <w:pStyle w:val="ListParagraph"/>
              <w:ind w:left="0"/>
              <w:jc w:val="center"/>
              <w:rPr>
                <w:rFonts w:ascii="Times New Roman" w:hAnsi="Times New Roman" w:cs="Times New Roman"/>
                <w:b/>
                <w:sz w:val="24"/>
                <w:szCs w:val="24"/>
              </w:rPr>
            </w:pPr>
            <w:r w:rsidRPr="00FE5D05">
              <w:rPr>
                <w:rFonts w:ascii="Times New Roman" w:hAnsi="Times New Roman" w:cs="Times New Roman"/>
                <w:b/>
                <w:sz w:val="24"/>
                <w:szCs w:val="24"/>
              </w:rPr>
              <w:t>Proposal</w:t>
            </w:r>
          </w:p>
        </w:tc>
        <w:tc>
          <w:tcPr>
            <w:tcW w:w="0" w:type="auto"/>
            <w:tcBorders>
              <w:top w:val="single" w:sz="4" w:space="0" w:color="auto"/>
              <w:left w:val="nil"/>
              <w:bottom w:val="single" w:sz="4" w:space="0" w:color="auto"/>
              <w:right w:val="nil"/>
            </w:tcBorders>
          </w:tcPr>
          <w:p w14:paraId="42F51684" w14:textId="77777777" w:rsidR="00167109" w:rsidRPr="00FE5D05" w:rsidRDefault="00167109" w:rsidP="00C140A3">
            <w:pPr>
              <w:pStyle w:val="ListParagraph"/>
              <w:ind w:left="0"/>
              <w:jc w:val="center"/>
              <w:rPr>
                <w:rFonts w:ascii="Times New Roman" w:hAnsi="Times New Roman" w:cs="Times New Roman"/>
                <w:b/>
                <w:sz w:val="24"/>
                <w:szCs w:val="24"/>
              </w:rPr>
            </w:pPr>
            <w:r w:rsidRPr="00FE5D05">
              <w:rPr>
                <w:rFonts w:ascii="Times New Roman" w:hAnsi="Times New Roman" w:cs="Times New Roman"/>
                <w:b/>
                <w:sz w:val="24"/>
                <w:szCs w:val="24"/>
              </w:rPr>
              <w:t>Sponsor</w:t>
            </w:r>
          </w:p>
        </w:tc>
        <w:tc>
          <w:tcPr>
            <w:tcW w:w="0" w:type="auto"/>
            <w:tcBorders>
              <w:top w:val="single" w:sz="4" w:space="0" w:color="auto"/>
              <w:left w:val="nil"/>
              <w:bottom w:val="single" w:sz="4" w:space="0" w:color="auto"/>
              <w:right w:val="nil"/>
            </w:tcBorders>
          </w:tcPr>
          <w:p w14:paraId="4F6D9AD9" w14:textId="77777777" w:rsidR="00167109" w:rsidRPr="00FE5D05" w:rsidRDefault="00167109" w:rsidP="00C140A3">
            <w:pPr>
              <w:pStyle w:val="ListParagraph"/>
              <w:ind w:left="0"/>
              <w:jc w:val="center"/>
              <w:rPr>
                <w:rFonts w:ascii="Times New Roman" w:hAnsi="Times New Roman" w:cs="Times New Roman"/>
                <w:b/>
                <w:sz w:val="24"/>
                <w:szCs w:val="24"/>
              </w:rPr>
            </w:pPr>
            <w:r w:rsidRPr="00FE5D05">
              <w:rPr>
                <w:rFonts w:ascii="Times New Roman" w:hAnsi="Times New Roman" w:cs="Times New Roman"/>
                <w:b/>
                <w:sz w:val="24"/>
                <w:szCs w:val="24"/>
              </w:rPr>
              <w:t>Recommendation</w:t>
            </w:r>
          </w:p>
        </w:tc>
        <w:tc>
          <w:tcPr>
            <w:tcW w:w="0" w:type="auto"/>
            <w:tcBorders>
              <w:top w:val="single" w:sz="4" w:space="0" w:color="auto"/>
              <w:left w:val="nil"/>
              <w:bottom w:val="single" w:sz="4" w:space="0" w:color="auto"/>
              <w:right w:val="nil"/>
            </w:tcBorders>
          </w:tcPr>
          <w:p w14:paraId="7E6A04E1" w14:textId="6F2C1F82" w:rsidR="00167109" w:rsidRPr="00FE5D05" w:rsidRDefault="00167109" w:rsidP="00C140A3">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My Vote</w:t>
            </w:r>
          </w:p>
        </w:tc>
      </w:tr>
      <w:tr w:rsidR="00167109" w:rsidRPr="00FE5D05" w14:paraId="59EF6F91" w14:textId="444A3A07" w:rsidTr="00167109">
        <w:trPr>
          <w:jc w:val="center"/>
        </w:trPr>
        <w:tc>
          <w:tcPr>
            <w:tcW w:w="0" w:type="auto"/>
            <w:tcBorders>
              <w:top w:val="single" w:sz="4" w:space="0" w:color="auto"/>
              <w:left w:val="nil"/>
              <w:bottom w:val="nil"/>
              <w:right w:val="nil"/>
            </w:tcBorders>
          </w:tcPr>
          <w:p w14:paraId="64E561B0" w14:textId="4F8BB20E" w:rsidR="00167109" w:rsidRPr="00FE5D05" w:rsidRDefault="00167109" w:rsidP="00C140A3">
            <w:pPr>
              <w:pStyle w:val="ListParagraph"/>
              <w:ind w:left="0"/>
              <w:jc w:val="both"/>
              <w:rPr>
                <w:rFonts w:ascii="Times New Roman" w:hAnsi="Times New Roman" w:cs="Times New Roman"/>
                <w:bCs/>
                <w:sz w:val="24"/>
                <w:szCs w:val="24"/>
              </w:rPr>
            </w:pPr>
            <w:r w:rsidRPr="00FE5D05">
              <w:rPr>
                <w:rFonts w:ascii="Times New Roman" w:hAnsi="Times New Roman" w:cs="Times New Roman"/>
                <w:bCs/>
                <w:sz w:val="24"/>
                <w:szCs w:val="24"/>
              </w:rPr>
              <w:t xml:space="preserve">1. Elect </w:t>
            </w:r>
            <w:r>
              <w:rPr>
                <w:rFonts w:ascii="Times New Roman" w:hAnsi="Times New Roman" w:cs="Times New Roman"/>
                <w:bCs/>
                <w:sz w:val="24"/>
                <w:szCs w:val="24"/>
              </w:rPr>
              <w:t>11</w:t>
            </w:r>
            <w:r w:rsidRPr="00FE5D05">
              <w:rPr>
                <w:rFonts w:ascii="Times New Roman" w:hAnsi="Times New Roman" w:cs="Times New Roman"/>
                <w:bCs/>
                <w:sz w:val="24"/>
                <w:szCs w:val="24"/>
              </w:rPr>
              <w:t xml:space="preserve"> Directors</w:t>
            </w:r>
          </w:p>
        </w:tc>
        <w:tc>
          <w:tcPr>
            <w:tcW w:w="0" w:type="auto"/>
            <w:tcBorders>
              <w:top w:val="single" w:sz="4" w:space="0" w:color="auto"/>
              <w:left w:val="nil"/>
              <w:bottom w:val="nil"/>
              <w:right w:val="nil"/>
            </w:tcBorders>
          </w:tcPr>
          <w:p w14:paraId="4EE18E74" w14:textId="77777777" w:rsidR="00167109" w:rsidRPr="00FE5D05" w:rsidRDefault="00167109" w:rsidP="00C140A3">
            <w:pPr>
              <w:pStyle w:val="ListParagraph"/>
              <w:ind w:left="0"/>
              <w:jc w:val="center"/>
              <w:rPr>
                <w:rFonts w:ascii="Times New Roman" w:hAnsi="Times New Roman" w:cs="Times New Roman"/>
                <w:bCs/>
                <w:sz w:val="24"/>
                <w:szCs w:val="24"/>
              </w:rPr>
            </w:pPr>
            <w:r w:rsidRPr="00FE5D05">
              <w:rPr>
                <w:rFonts w:ascii="Times New Roman" w:hAnsi="Times New Roman" w:cs="Times New Roman"/>
                <w:bCs/>
                <w:sz w:val="24"/>
                <w:szCs w:val="24"/>
              </w:rPr>
              <w:t>Firm</w:t>
            </w:r>
          </w:p>
        </w:tc>
        <w:tc>
          <w:tcPr>
            <w:tcW w:w="0" w:type="auto"/>
            <w:tcBorders>
              <w:top w:val="single" w:sz="4" w:space="0" w:color="auto"/>
              <w:left w:val="nil"/>
              <w:bottom w:val="nil"/>
              <w:right w:val="nil"/>
            </w:tcBorders>
          </w:tcPr>
          <w:p w14:paraId="3E22D919" w14:textId="77777777" w:rsidR="00167109" w:rsidRPr="00FE5D05" w:rsidRDefault="00167109" w:rsidP="00C140A3">
            <w:pPr>
              <w:pStyle w:val="ListParagraph"/>
              <w:ind w:left="0"/>
              <w:jc w:val="center"/>
              <w:rPr>
                <w:rFonts w:ascii="Times New Roman" w:hAnsi="Times New Roman" w:cs="Times New Roman"/>
                <w:bCs/>
                <w:sz w:val="24"/>
                <w:szCs w:val="24"/>
              </w:rPr>
            </w:pPr>
            <w:r w:rsidRPr="00FE5D05">
              <w:rPr>
                <w:rFonts w:ascii="Times New Roman" w:hAnsi="Times New Roman" w:cs="Times New Roman"/>
                <w:bCs/>
                <w:sz w:val="24"/>
                <w:szCs w:val="24"/>
              </w:rPr>
              <w:t>FOR</w:t>
            </w:r>
          </w:p>
        </w:tc>
        <w:tc>
          <w:tcPr>
            <w:tcW w:w="0" w:type="auto"/>
            <w:tcBorders>
              <w:top w:val="single" w:sz="4" w:space="0" w:color="auto"/>
              <w:left w:val="nil"/>
              <w:bottom w:val="nil"/>
              <w:right w:val="nil"/>
            </w:tcBorders>
          </w:tcPr>
          <w:p w14:paraId="6EA0F5FB" w14:textId="49030B3B" w:rsidR="00167109" w:rsidRPr="00FE5D05" w:rsidRDefault="00167109" w:rsidP="00C140A3">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FOR</w:t>
            </w:r>
          </w:p>
        </w:tc>
      </w:tr>
      <w:tr w:rsidR="00167109" w:rsidRPr="00FE5D05" w14:paraId="4759827D" w14:textId="30099D6A" w:rsidTr="00167109">
        <w:trPr>
          <w:jc w:val="center"/>
        </w:trPr>
        <w:tc>
          <w:tcPr>
            <w:tcW w:w="0" w:type="auto"/>
            <w:tcBorders>
              <w:top w:val="nil"/>
              <w:left w:val="nil"/>
              <w:bottom w:val="nil"/>
              <w:right w:val="nil"/>
            </w:tcBorders>
          </w:tcPr>
          <w:p w14:paraId="5198058F" w14:textId="2D60B5F4" w:rsidR="00167109" w:rsidRPr="00FE5D05" w:rsidRDefault="00167109" w:rsidP="00C140A3">
            <w:pPr>
              <w:pStyle w:val="ListParagraph"/>
              <w:ind w:left="0"/>
              <w:jc w:val="both"/>
              <w:rPr>
                <w:rFonts w:ascii="Times New Roman" w:hAnsi="Times New Roman" w:cs="Times New Roman"/>
                <w:bCs/>
                <w:sz w:val="24"/>
                <w:szCs w:val="24"/>
              </w:rPr>
            </w:pPr>
            <w:r>
              <w:rPr>
                <w:rFonts w:ascii="Times New Roman" w:hAnsi="Times New Roman" w:cs="Times New Roman"/>
                <w:bCs/>
                <w:sz w:val="24"/>
                <w:szCs w:val="24"/>
              </w:rPr>
              <w:t>2. Advisory vote on executive compensation</w:t>
            </w:r>
          </w:p>
        </w:tc>
        <w:tc>
          <w:tcPr>
            <w:tcW w:w="0" w:type="auto"/>
            <w:tcBorders>
              <w:top w:val="nil"/>
              <w:left w:val="nil"/>
              <w:bottom w:val="nil"/>
              <w:right w:val="nil"/>
            </w:tcBorders>
          </w:tcPr>
          <w:p w14:paraId="501A30C4" w14:textId="77777777" w:rsidR="00167109" w:rsidRPr="00FE5D05" w:rsidRDefault="00167109" w:rsidP="00C140A3">
            <w:pPr>
              <w:pStyle w:val="ListParagraph"/>
              <w:ind w:left="0"/>
              <w:jc w:val="center"/>
              <w:rPr>
                <w:rFonts w:ascii="Times New Roman" w:hAnsi="Times New Roman" w:cs="Times New Roman"/>
                <w:bCs/>
                <w:sz w:val="24"/>
                <w:szCs w:val="24"/>
              </w:rPr>
            </w:pPr>
            <w:r w:rsidRPr="00FE5D05">
              <w:rPr>
                <w:rFonts w:ascii="Times New Roman" w:hAnsi="Times New Roman" w:cs="Times New Roman"/>
                <w:bCs/>
                <w:sz w:val="24"/>
                <w:szCs w:val="24"/>
              </w:rPr>
              <w:t>Firm</w:t>
            </w:r>
          </w:p>
        </w:tc>
        <w:tc>
          <w:tcPr>
            <w:tcW w:w="0" w:type="auto"/>
            <w:tcBorders>
              <w:top w:val="nil"/>
              <w:left w:val="nil"/>
              <w:bottom w:val="nil"/>
              <w:right w:val="nil"/>
            </w:tcBorders>
          </w:tcPr>
          <w:p w14:paraId="17CDA5AC" w14:textId="77777777" w:rsidR="00167109" w:rsidRPr="00FE5D05" w:rsidRDefault="00167109" w:rsidP="00C140A3">
            <w:pPr>
              <w:pStyle w:val="ListParagraph"/>
              <w:ind w:left="0"/>
              <w:jc w:val="center"/>
              <w:rPr>
                <w:rFonts w:ascii="Times New Roman" w:hAnsi="Times New Roman" w:cs="Times New Roman"/>
                <w:bCs/>
                <w:sz w:val="24"/>
                <w:szCs w:val="24"/>
              </w:rPr>
            </w:pPr>
            <w:r w:rsidRPr="00FE5D05">
              <w:rPr>
                <w:rFonts w:ascii="Times New Roman" w:hAnsi="Times New Roman" w:cs="Times New Roman"/>
                <w:bCs/>
                <w:sz w:val="24"/>
                <w:szCs w:val="24"/>
              </w:rPr>
              <w:t>FOR</w:t>
            </w:r>
          </w:p>
        </w:tc>
        <w:tc>
          <w:tcPr>
            <w:tcW w:w="0" w:type="auto"/>
            <w:tcBorders>
              <w:top w:val="nil"/>
              <w:left w:val="nil"/>
              <w:bottom w:val="nil"/>
              <w:right w:val="nil"/>
            </w:tcBorders>
          </w:tcPr>
          <w:p w14:paraId="7BE8AF77" w14:textId="626C14AD" w:rsidR="00167109" w:rsidRPr="00FE5D05" w:rsidRDefault="00167109" w:rsidP="00C140A3">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FOR</w:t>
            </w:r>
          </w:p>
        </w:tc>
      </w:tr>
      <w:tr w:rsidR="00167109" w:rsidRPr="00FE5D05" w14:paraId="6565C565" w14:textId="28A05EC5" w:rsidTr="00167109">
        <w:trPr>
          <w:jc w:val="center"/>
        </w:trPr>
        <w:tc>
          <w:tcPr>
            <w:tcW w:w="0" w:type="auto"/>
            <w:tcBorders>
              <w:top w:val="nil"/>
              <w:left w:val="nil"/>
              <w:bottom w:val="nil"/>
              <w:right w:val="nil"/>
            </w:tcBorders>
          </w:tcPr>
          <w:p w14:paraId="4FEFC86E" w14:textId="54B85A77" w:rsidR="00167109" w:rsidRPr="00FE5D05" w:rsidRDefault="00167109" w:rsidP="00C140A3">
            <w:pPr>
              <w:pStyle w:val="ListParagraph"/>
              <w:ind w:left="0"/>
              <w:jc w:val="both"/>
              <w:rPr>
                <w:rFonts w:ascii="Times New Roman" w:hAnsi="Times New Roman" w:cs="Times New Roman"/>
                <w:bCs/>
                <w:sz w:val="24"/>
                <w:szCs w:val="24"/>
              </w:rPr>
            </w:pPr>
            <w:r>
              <w:rPr>
                <w:rFonts w:ascii="Times New Roman" w:hAnsi="Times New Roman" w:cs="Times New Roman"/>
                <w:bCs/>
                <w:sz w:val="24"/>
                <w:szCs w:val="24"/>
              </w:rPr>
              <w:t>3. Ratify selection of KPMG as auditor</w:t>
            </w:r>
          </w:p>
        </w:tc>
        <w:tc>
          <w:tcPr>
            <w:tcW w:w="0" w:type="auto"/>
            <w:tcBorders>
              <w:top w:val="nil"/>
              <w:left w:val="nil"/>
              <w:bottom w:val="nil"/>
              <w:right w:val="nil"/>
            </w:tcBorders>
          </w:tcPr>
          <w:p w14:paraId="3CE907B1" w14:textId="77777777" w:rsidR="00167109" w:rsidRPr="00FE5D05" w:rsidRDefault="00167109" w:rsidP="00C140A3">
            <w:pPr>
              <w:pStyle w:val="ListParagraph"/>
              <w:ind w:left="0"/>
              <w:jc w:val="center"/>
              <w:rPr>
                <w:rFonts w:ascii="Times New Roman" w:hAnsi="Times New Roman" w:cs="Times New Roman"/>
                <w:bCs/>
                <w:sz w:val="24"/>
                <w:szCs w:val="24"/>
              </w:rPr>
            </w:pPr>
            <w:r w:rsidRPr="00FE5D05">
              <w:rPr>
                <w:rFonts w:ascii="Times New Roman" w:hAnsi="Times New Roman" w:cs="Times New Roman"/>
                <w:bCs/>
                <w:sz w:val="24"/>
                <w:szCs w:val="24"/>
              </w:rPr>
              <w:t>Firm</w:t>
            </w:r>
          </w:p>
        </w:tc>
        <w:tc>
          <w:tcPr>
            <w:tcW w:w="0" w:type="auto"/>
            <w:tcBorders>
              <w:top w:val="nil"/>
              <w:left w:val="nil"/>
              <w:bottom w:val="nil"/>
              <w:right w:val="nil"/>
            </w:tcBorders>
          </w:tcPr>
          <w:p w14:paraId="52D8E213" w14:textId="77777777" w:rsidR="00167109" w:rsidRPr="00FE5D05" w:rsidRDefault="00167109" w:rsidP="00C140A3">
            <w:pPr>
              <w:pStyle w:val="ListParagraph"/>
              <w:ind w:left="0"/>
              <w:jc w:val="center"/>
              <w:rPr>
                <w:rFonts w:ascii="Times New Roman" w:hAnsi="Times New Roman" w:cs="Times New Roman"/>
                <w:bCs/>
                <w:sz w:val="24"/>
                <w:szCs w:val="24"/>
              </w:rPr>
            </w:pPr>
            <w:r w:rsidRPr="00FE5D05">
              <w:rPr>
                <w:rFonts w:ascii="Times New Roman" w:hAnsi="Times New Roman" w:cs="Times New Roman"/>
                <w:bCs/>
                <w:sz w:val="24"/>
                <w:szCs w:val="24"/>
              </w:rPr>
              <w:t>FOR</w:t>
            </w:r>
          </w:p>
        </w:tc>
        <w:tc>
          <w:tcPr>
            <w:tcW w:w="0" w:type="auto"/>
            <w:tcBorders>
              <w:top w:val="nil"/>
              <w:left w:val="nil"/>
              <w:bottom w:val="nil"/>
              <w:right w:val="nil"/>
            </w:tcBorders>
          </w:tcPr>
          <w:p w14:paraId="2B606CD5" w14:textId="620DCADE" w:rsidR="00167109" w:rsidRPr="00FE5D05" w:rsidRDefault="00167109" w:rsidP="00C140A3">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FOR</w:t>
            </w:r>
          </w:p>
        </w:tc>
      </w:tr>
      <w:tr w:rsidR="00167109" w:rsidRPr="00FE5D05" w14:paraId="1AFE75A8" w14:textId="2D3BE2E0" w:rsidTr="00167109">
        <w:trPr>
          <w:trHeight w:val="225"/>
          <w:jc w:val="center"/>
        </w:trPr>
        <w:tc>
          <w:tcPr>
            <w:tcW w:w="0" w:type="auto"/>
            <w:tcBorders>
              <w:top w:val="nil"/>
              <w:left w:val="nil"/>
              <w:bottom w:val="nil"/>
              <w:right w:val="nil"/>
            </w:tcBorders>
          </w:tcPr>
          <w:p w14:paraId="0C52B35F" w14:textId="05C51FCF" w:rsidR="00167109" w:rsidRPr="00FE5D05" w:rsidRDefault="00167109" w:rsidP="00C140A3">
            <w:pPr>
              <w:pStyle w:val="ListParagraph"/>
              <w:ind w:left="0"/>
              <w:jc w:val="both"/>
              <w:rPr>
                <w:rFonts w:ascii="Times New Roman" w:hAnsi="Times New Roman" w:cs="Times New Roman"/>
                <w:bCs/>
                <w:sz w:val="24"/>
                <w:szCs w:val="24"/>
              </w:rPr>
            </w:pPr>
            <w:r w:rsidRPr="00FE5D05">
              <w:rPr>
                <w:rFonts w:ascii="Times New Roman" w:hAnsi="Times New Roman" w:cs="Times New Roman"/>
                <w:bCs/>
                <w:sz w:val="24"/>
                <w:szCs w:val="24"/>
              </w:rPr>
              <w:t xml:space="preserve">4. </w:t>
            </w:r>
            <w:r>
              <w:rPr>
                <w:rFonts w:ascii="Times New Roman" w:hAnsi="Times New Roman" w:cs="Times New Roman"/>
                <w:bCs/>
                <w:sz w:val="24"/>
                <w:szCs w:val="24"/>
              </w:rPr>
              <w:t>Report on Greenhouse Gas Emissions</w:t>
            </w:r>
          </w:p>
        </w:tc>
        <w:tc>
          <w:tcPr>
            <w:tcW w:w="0" w:type="auto"/>
            <w:tcBorders>
              <w:top w:val="nil"/>
              <w:left w:val="nil"/>
              <w:bottom w:val="nil"/>
              <w:right w:val="nil"/>
            </w:tcBorders>
          </w:tcPr>
          <w:p w14:paraId="5BB80AC4" w14:textId="68D7818D" w:rsidR="00167109" w:rsidRPr="00FE5D05" w:rsidRDefault="00167109" w:rsidP="00C140A3">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Shareholder</w:t>
            </w:r>
          </w:p>
        </w:tc>
        <w:tc>
          <w:tcPr>
            <w:tcW w:w="0" w:type="auto"/>
            <w:tcBorders>
              <w:top w:val="nil"/>
              <w:left w:val="nil"/>
              <w:bottom w:val="nil"/>
              <w:right w:val="nil"/>
            </w:tcBorders>
          </w:tcPr>
          <w:p w14:paraId="3E81F771" w14:textId="00A44D81" w:rsidR="00167109" w:rsidRPr="00FE5D05" w:rsidRDefault="00167109" w:rsidP="00C140A3">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AGAINST</w:t>
            </w:r>
          </w:p>
        </w:tc>
        <w:tc>
          <w:tcPr>
            <w:tcW w:w="0" w:type="auto"/>
            <w:tcBorders>
              <w:top w:val="nil"/>
              <w:left w:val="nil"/>
              <w:bottom w:val="nil"/>
              <w:right w:val="nil"/>
            </w:tcBorders>
          </w:tcPr>
          <w:p w14:paraId="6D7B6764" w14:textId="46100EEF" w:rsidR="00167109" w:rsidRDefault="00167109" w:rsidP="00C140A3">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AGAINST</w:t>
            </w:r>
          </w:p>
        </w:tc>
      </w:tr>
      <w:tr w:rsidR="00167109" w:rsidRPr="00FE5D05" w14:paraId="744EDFE0" w14:textId="323A5420" w:rsidTr="00167109">
        <w:trPr>
          <w:jc w:val="center"/>
        </w:trPr>
        <w:tc>
          <w:tcPr>
            <w:tcW w:w="0" w:type="auto"/>
            <w:tcBorders>
              <w:top w:val="nil"/>
              <w:left w:val="nil"/>
              <w:bottom w:val="single" w:sz="4" w:space="0" w:color="auto"/>
              <w:right w:val="nil"/>
            </w:tcBorders>
          </w:tcPr>
          <w:p w14:paraId="2EF46C13" w14:textId="013F1D76" w:rsidR="00167109" w:rsidRPr="00FE5D05" w:rsidRDefault="00167109" w:rsidP="00C140A3">
            <w:pPr>
              <w:jc w:val="both"/>
              <w:rPr>
                <w:rFonts w:ascii="Times New Roman" w:hAnsi="Times New Roman" w:cs="Times New Roman"/>
                <w:bCs/>
                <w:sz w:val="24"/>
                <w:szCs w:val="24"/>
              </w:rPr>
            </w:pPr>
            <w:r w:rsidRPr="00FE5D05">
              <w:rPr>
                <w:rFonts w:ascii="Times New Roman" w:hAnsi="Times New Roman" w:cs="Times New Roman"/>
                <w:bCs/>
                <w:sz w:val="24"/>
                <w:szCs w:val="24"/>
              </w:rPr>
              <w:t xml:space="preserve">5. </w:t>
            </w:r>
            <w:r>
              <w:rPr>
                <w:rFonts w:ascii="Times New Roman" w:hAnsi="Times New Roman" w:cs="Times New Roman"/>
                <w:bCs/>
                <w:sz w:val="24"/>
                <w:szCs w:val="24"/>
              </w:rPr>
              <w:t>Simple majority vote</w:t>
            </w:r>
          </w:p>
        </w:tc>
        <w:tc>
          <w:tcPr>
            <w:tcW w:w="0" w:type="auto"/>
            <w:tcBorders>
              <w:top w:val="nil"/>
              <w:left w:val="nil"/>
              <w:bottom w:val="single" w:sz="4" w:space="0" w:color="auto"/>
              <w:right w:val="nil"/>
            </w:tcBorders>
          </w:tcPr>
          <w:p w14:paraId="71E2D7A9" w14:textId="77777777" w:rsidR="00167109" w:rsidRPr="00FE5D05" w:rsidRDefault="00167109" w:rsidP="00C140A3">
            <w:pPr>
              <w:pStyle w:val="ListParagraph"/>
              <w:ind w:left="0"/>
              <w:jc w:val="center"/>
              <w:rPr>
                <w:rFonts w:ascii="Times New Roman" w:hAnsi="Times New Roman" w:cs="Times New Roman"/>
                <w:bCs/>
                <w:sz w:val="24"/>
                <w:szCs w:val="24"/>
              </w:rPr>
            </w:pPr>
            <w:r w:rsidRPr="00FE5D05">
              <w:rPr>
                <w:rFonts w:ascii="Times New Roman" w:hAnsi="Times New Roman" w:cs="Times New Roman"/>
                <w:bCs/>
                <w:sz w:val="24"/>
                <w:szCs w:val="24"/>
              </w:rPr>
              <w:t>Shareholder</w:t>
            </w:r>
          </w:p>
        </w:tc>
        <w:tc>
          <w:tcPr>
            <w:tcW w:w="0" w:type="auto"/>
            <w:tcBorders>
              <w:top w:val="nil"/>
              <w:left w:val="nil"/>
              <w:bottom w:val="single" w:sz="4" w:space="0" w:color="auto"/>
              <w:right w:val="nil"/>
            </w:tcBorders>
          </w:tcPr>
          <w:p w14:paraId="26786888" w14:textId="77777777" w:rsidR="00167109" w:rsidRPr="00FE5D05" w:rsidRDefault="00167109" w:rsidP="00C140A3">
            <w:pPr>
              <w:pStyle w:val="ListParagraph"/>
              <w:ind w:left="0"/>
              <w:jc w:val="center"/>
              <w:rPr>
                <w:rFonts w:ascii="Times New Roman" w:hAnsi="Times New Roman" w:cs="Times New Roman"/>
                <w:bCs/>
                <w:sz w:val="24"/>
                <w:szCs w:val="24"/>
              </w:rPr>
            </w:pPr>
            <w:r w:rsidRPr="00FE5D05">
              <w:rPr>
                <w:rFonts w:ascii="Times New Roman" w:hAnsi="Times New Roman" w:cs="Times New Roman"/>
                <w:bCs/>
                <w:sz w:val="24"/>
                <w:szCs w:val="24"/>
              </w:rPr>
              <w:t>AGAINST</w:t>
            </w:r>
          </w:p>
        </w:tc>
        <w:tc>
          <w:tcPr>
            <w:tcW w:w="0" w:type="auto"/>
            <w:tcBorders>
              <w:top w:val="nil"/>
              <w:left w:val="nil"/>
              <w:bottom w:val="single" w:sz="4" w:space="0" w:color="auto"/>
              <w:right w:val="nil"/>
            </w:tcBorders>
          </w:tcPr>
          <w:p w14:paraId="02BA1F94" w14:textId="2ADC8F74" w:rsidR="00167109" w:rsidRPr="00FE5D05" w:rsidRDefault="00167109" w:rsidP="00C140A3">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AGAINST</w:t>
            </w:r>
          </w:p>
        </w:tc>
      </w:tr>
    </w:tbl>
    <w:p w14:paraId="10EF969B" w14:textId="77777777" w:rsidR="00C044D2" w:rsidRDefault="00C044D2" w:rsidP="00C044D2">
      <w:pPr>
        <w:pStyle w:val="ListParagraph"/>
        <w:ind w:left="360"/>
        <w:jc w:val="both"/>
        <w:rPr>
          <w:rFonts w:ascii="Times New Roman" w:hAnsi="Times New Roman" w:cs="Times New Roman"/>
          <w:bCs/>
          <w:sz w:val="24"/>
          <w:szCs w:val="24"/>
        </w:rPr>
      </w:pPr>
    </w:p>
    <w:p w14:paraId="09A8A779" w14:textId="1966C2E7" w:rsidR="00C044D2" w:rsidRPr="00167109" w:rsidRDefault="00167109" w:rsidP="00EB3BA2">
      <w:pPr>
        <w:ind w:left="360"/>
        <w:jc w:val="both"/>
        <w:rPr>
          <w:rFonts w:ascii="Times New Roman" w:hAnsi="Times New Roman" w:cs="Times New Roman"/>
          <w:sz w:val="24"/>
          <w:szCs w:val="24"/>
        </w:rPr>
      </w:pPr>
      <w:r w:rsidRPr="00167109">
        <w:rPr>
          <w:rFonts w:ascii="Times New Roman" w:hAnsi="Times New Roman" w:cs="Times New Roman"/>
          <w:sz w:val="24"/>
          <w:szCs w:val="24"/>
        </w:rPr>
        <w:t xml:space="preserve">I </w:t>
      </w:r>
      <w:r>
        <w:rPr>
          <w:rFonts w:ascii="Times New Roman" w:hAnsi="Times New Roman" w:cs="Times New Roman"/>
          <w:sz w:val="24"/>
          <w:szCs w:val="24"/>
        </w:rPr>
        <w:t xml:space="preserve">would </w:t>
      </w:r>
      <w:r w:rsidRPr="00167109">
        <w:rPr>
          <w:rFonts w:ascii="Times New Roman" w:hAnsi="Times New Roman" w:cs="Times New Roman"/>
          <w:sz w:val="24"/>
          <w:szCs w:val="24"/>
        </w:rPr>
        <w:t>vote in the same way that the board recommended for each item. I believe this is optimal because...</w:t>
      </w:r>
    </w:p>
    <w:p w14:paraId="6D4DB2C5" w14:textId="28030FB1" w:rsidR="00E80726" w:rsidRPr="00E80726" w:rsidRDefault="00E80726" w:rsidP="00E80726">
      <w:pPr>
        <w:pStyle w:val="ListParagraph"/>
        <w:numPr>
          <w:ilvl w:val="0"/>
          <w:numId w:val="21"/>
        </w:numPr>
        <w:jc w:val="both"/>
        <w:rPr>
          <w:rFonts w:ascii="Times New Roman" w:hAnsi="Times New Roman" w:cs="Times New Roman"/>
          <w:b/>
          <w:bCs/>
          <w:sz w:val="24"/>
          <w:szCs w:val="24"/>
        </w:rPr>
      </w:pPr>
      <w:r w:rsidRPr="00E80726">
        <w:rPr>
          <w:rFonts w:ascii="Times New Roman" w:hAnsi="Times New Roman" w:cs="Times New Roman"/>
          <w:b/>
          <w:bCs/>
          <w:sz w:val="24"/>
          <w:szCs w:val="24"/>
        </w:rPr>
        <w:t>Which board members are “independent” or do not work for the company? Is the CEO also the Chairperson of the Board? Explain how board independence relates to the agency problem, commenting specifically on the concerns about the agency problem at your firm.</w:t>
      </w:r>
    </w:p>
    <w:p w14:paraId="62A3AD92" w14:textId="26557AD8" w:rsidR="00C15B8D" w:rsidRDefault="00EB3BA2" w:rsidP="00EB3BA2">
      <w:pPr>
        <w:ind w:left="360"/>
        <w:jc w:val="both"/>
        <w:rPr>
          <w:rFonts w:ascii="Times New Roman" w:hAnsi="Times New Roman" w:cs="Times New Roman"/>
          <w:sz w:val="24"/>
          <w:szCs w:val="24"/>
        </w:rPr>
      </w:pPr>
      <w:r w:rsidRPr="00EB3BA2">
        <w:rPr>
          <w:rFonts w:ascii="Times New Roman" w:hAnsi="Times New Roman" w:cs="Times New Roman"/>
          <w:sz w:val="24"/>
          <w:szCs w:val="24"/>
        </w:rPr>
        <w:t xml:space="preserve">The agency problem exists when... At Markel, the independent board members are... The CEO is not the Chairman of the Board, though it is worth noting that the Chair, Steven Markel, is not independent and is </w:t>
      </w:r>
      <w:r w:rsidR="009F7906">
        <w:rPr>
          <w:rFonts w:ascii="Times New Roman" w:hAnsi="Times New Roman" w:cs="Times New Roman"/>
          <w:sz w:val="24"/>
          <w:szCs w:val="24"/>
        </w:rPr>
        <w:t xml:space="preserve">the grandson of </w:t>
      </w:r>
      <w:r w:rsidRPr="00EB3BA2">
        <w:rPr>
          <w:rFonts w:ascii="Times New Roman" w:hAnsi="Times New Roman" w:cs="Times New Roman"/>
          <w:sz w:val="24"/>
          <w:szCs w:val="24"/>
        </w:rPr>
        <w:t>the founder of the firm</w:t>
      </w:r>
      <w:r w:rsidR="009F7906">
        <w:rPr>
          <w:rFonts w:ascii="Times New Roman" w:hAnsi="Times New Roman" w:cs="Times New Roman"/>
          <w:sz w:val="24"/>
          <w:szCs w:val="24"/>
        </w:rPr>
        <w:t>...</w:t>
      </w:r>
    </w:p>
    <w:p w14:paraId="5D057C6C" w14:textId="77777777" w:rsidR="00D73491" w:rsidRPr="000500B5" w:rsidRDefault="00D73491" w:rsidP="00D73491">
      <w:pPr>
        <w:pStyle w:val="Heading1"/>
        <w:spacing w:after="90"/>
        <w:rPr>
          <w:color w:val="6F7479"/>
          <w:sz w:val="28"/>
          <w:szCs w:val="28"/>
        </w:rPr>
      </w:pPr>
      <w:r>
        <w:rPr>
          <w:color w:val="6F7479"/>
          <w:sz w:val="28"/>
          <w:szCs w:val="28"/>
        </w:rPr>
        <w:t>Using the Financial Statements from S&amp;P NetAdvantage</w:t>
      </w:r>
      <w:r w:rsidRPr="000500B5">
        <w:rPr>
          <w:color w:val="6F7479"/>
          <w:sz w:val="28"/>
          <w:szCs w:val="28"/>
        </w:rPr>
        <w:t>:</w:t>
      </w:r>
    </w:p>
    <w:p w14:paraId="0487A7AC" w14:textId="12939588" w:rsidR="00E80726" w:rsidRPr="00E80726" w:rsidRDefault="00E80726" w:rsidP="00E80726">
      <w:pPr>
        <w:pStyle w:val="ListParagraph"/>
        <w:numPr>
          <w:ilvl w:val="0"/>
          <w:numId w:val="12"/>
        </w:numPr>
        <w:ind w:left="360"/>
        <w:jc w:val="both"/>
        <w:rPr>
          <w:rFonts w:ascii="Times New Roman" w:hAnsi="Times New Roman" w:cs="Times New Roman"/>
          <w:b/>
          <w:bCs/>
          <w:sz w:val="24"/>
          <w:szCs w:val="24"/>
        </w:rPr>
      </w:pPr>
      <w:bookmarkStart w:id="4" w:name="_Hlk204777235"/>
      <w:r w:rsidRPr="00E80726">
        <w:rPr>
          <w:rFonts w:ascii="Times New Roman" w:eastAsiaTheme="minorEastAsia" w:hAnsi="Times New Roman" w:cs="Times New Roman"/>
          <w:b/>
          <w:bCs/>
          <w:sz w:val="24"/>
          <w:szCs w:val="24"/>
        </w:rPr>
        <w:t xml:space="preserve">Provide each of the following ratios for your firm over the last three years (listed on the “Ratios” tab of your S&amp;P NetAdvantage financials). Describe what each ratio means and discuss whether each of the firm’s ratios are improving or getting worse. Finally, provide your </w:t>
      </w:r>
      <w:r w:rsidRPr="00E80726">
        <w:rPr>
          <w:rFonts w:ascii="Times New Roman" w:eastAsiaTheme="minorEastAsia" w:hAnsi="Times New Roman" w:cs="Times New Roman"/>
          <w:b/>
          <w:bCs/>
          <w:i/>
          <w:iCs/>
          <w:sz w:val="24"/>
          <w:szCs w:val="24"/>
        </w:rPr>
        <w:t>overall assessment</w:t>
      </w:r>
      <w:r w:rsidRPr="00E80726">
        <w:rPr>
          <w:rFonts w:ascii="Times New Roman" w:eastAsiaTheme="minorEastAsia" w:hAnsi="Times New Roman" w:cs="Times New Roman"/>
          <w:b/>
          <w:bCs/>
          <w:sz w:val="24"/>
          <w:szCs w:val="24"/>
        </w:rPr>
        <w:t xml:space="preserve"> of your firm’s health given the results of your ratio analysis.</w:t>
      </w:r>
    </w:p>
    <w:p w14:paraId="38328E33" w14:textId="77777777" w:rsidR="005B0C26" w:rsidRPr="00E80726" w:rsidRDefault="005B0C26" w:rsidP="005B0C26">
      <w:pPr>
        <w:pStyle w:val="ListParagraph"/>
        <w:numPr>
          <w:ilvl w:val="0"/>
          <w:numId w:val="21"/>
        </w:numPr>
        <w:jc w:val="both"/>
        <w:rPr>
          <w:rFonts w:ascii="Times New Roman" w:hAnsi="Times New Roman" w:cs="Times New Roman"/>
          <w:b/>
          <w:bCs/>
          <w:sz w:val="24"/>
          <w:szCs w:val="24"/>
        </w:rPr>
        <w:sectPr w:rsidR="005B0C26" w:rsidRPr="00E80726" w:rsidSect="00523E3B">
          <w:footerReference w:type="default" r:id="rId10"/>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1E6DFCA2" w14:textId="77777777" w:rsidR="00E43D56" w:rsidRPr="005B0C26" w:rsidRDefault="00E43D56" w:rsidP="00E80726">
      <w:pPr>
        <w:pStyle w:val="ListParagraph"/>
        <w:numPr>
          <w:ilvl w:val="1"/>
          <w:numId w:val="21"/>
        </w:numPr>
        <w:ind w:left="990" w:hanging="270"/>
        <w:rPr>
          <w:rFonts w:ascii="Times New Roman" w:hAnsi="Times New Roman" w:cs="Times New Roman"/>
          <w:b/>
          <w:bCs/>
          <w:sz w:val="24"/>
          <w:szCs w:val="24"/>
        </w:rPr>
      </w:pPr>
      <w:r w:rsidRPr="005B0C26">
        <w:rPr>
          <w:rFonts w:ascii="Times New Roman" w:eastAsiaTheme="minorEastAsia" w:hAnsi="Times New Roman" w:cs="Times New Roman"/>
          <w:b/>
          <w:bCs/>
          <w:sz w:val="24"/>
          <w:szCs w:val="24"/>
        </w:rPr>
        <w:t>ROA</w:t>
      </w:r>
    </w:p>
    <w:p w14:paraId="7C818A25" w14:textId="77777777" w:rsidR="00E43D56" w:rsidRPr="005B0C26" w:rsidRDefault="00E43D56" w:rsidP="00E80726">
      <w:pPr>
        <w:pStyle w:val="ListParagraph"/>
        <w:numPr>
          <w:ilvl w:val="1"/>
          <w:numId w:val="21"/>
        </w:numPr>
        <w:ind w:left="990" w:hanging="270"/>
        <w:rPr>
          <w:rFonts w:ascii="Times New Roman" w:hAnsi="Times New Roman" w:cs="Times New Roman"/>
          <w:b/>
          <w:bCs/>
          <w:sz w:val="24"/>
          <w:szCs w:val="24"/>
        </w:rPr>
      </w:pPr>
      <w:r w:rsidRPr="005B0C26">
        <w:rPr>
          <w:rFonts w:ascii="Times New Roman" w:eastAsiaTheme="minorEastAsia" w:hAnsi="Times New Roman" w:cs="Times New Roman"/>
          <w:b/>
          <w:bCs/>
          <w:sz w:val="24"/>
          <w:szCs w:val="24"/>
        </w:rPr>
        <w:t>ROE</w:t>
      </w:r>
    </w:p>
    <w:p w14:paraId="109DAF98" w14:textId="77777777" w:rsidR="00E43D56" w:rsidRPr="005B0C26" w:rsidRDefault="00E43D56" w:rsidP="00E80726">
      <w:pPr>
        <w:pStyle w:val="ListParagraph"/>
        <w:numPr>
          <w:ilvl w:val="1"/>
          <w:numId w:val="21"/>
        </w:numPr>
        <w:ind w:left="990" w:hanging="270"/>
        <w:rPr>
          <w:rFonts w:ascii="Times New Roman" w:hAnsi="Times New Roman" w:cs="Times New Roman"/>
          <w:b/>
          <w:bCs/>
          <w:sz w:val="24"/>
          <w:szCs w:val="24"/>
        </w:rPr>
      </w:pPr>
      <w:r w:rsidRPr="005B0C26">
        <w:rPr>
          <w:rFonts w:ascii="Times New Roman" w:eastAsiaTheme="minorEastAsia" w:hAnsi="Times New Roman" w:cs="Times New Roman"/>
          <w:b/>
          <w:bCs/>
          <w:sz w:val="24"/>
          <w:szCs w:val="24"/>
        </w:rPr>
        <w:t>Gross Margin</w:t>
      </w:r>
    </w:p>
    <w:p w14:paraId="0C662154" w14:textId="77777777" w:rsidR="00E43D56" w:rsidRPr="005B0C26" w:rsidRDefault="00E43D56" w:rsidP="00E80726">
      <w:pPr>
        <w:pStyle w:val="ListParagraph"/>
        <w:numPr>
          <w:ilvl w:val="1"/>
          <w:numId w:val="21"/>
        </w:numPr>
        <w:ind w:left="990" w:hanging="270"/>
        <w:rPr>
          <w:rFonts w:ascii="Times New Roman" w:hAnsi="Times New Roman" w:cs="Times New Roman"/>
          <w:b/>
          <w:bCs/>
          <w:sz w:val="24"/>
          <w:szCs w:val="24"/>
        </w:rPr>
      </w:pPr>
      <w:r w:rsidRPr="005B0C26">
        <w:rPr>
          <w:rFonts w:ascii="Times New Roman" w:eastAsiaTheme="minorEastAsia" w:hAnsi="Times New Roman" w:cs="Times New Roman"/>
          <w:b/>
          <w:bCs/>
          <w:sz w:val="24"/>
          <w:szCs w:val="24"/>
        </w:rPr>
        <w:t>Net Income Margin (Net Income/Revenue)</w:t>
      </w:r>
    </w:p>
    <w:p w14:paraId="45195574" w14:textId="77777777" w:rsidR="00E43D56" w:rsidRPr="005B0C26" w:rsidRDefault="00E43D56" w:rsidP="00E80726">
      <w:pPr>
        <w:pStyle w:val="ListParagraph"/>
        <w:numPr>
          <w:ilvl w:val="1"/>
          <w:numId w:val="21"/>
        </w:numPr>
        <w:ind w:left="990" w:hanging="270"/>
        <w:rPr>
          <w:rFonts w:ascii="Times New Roman" w:hAnsi="Times New Roman" w:cs="Times New Roman"/>
          <w:b/>
          <w:bCs/>
          <w:sz w:val="24"/>
          <w:szCs w:val="24"/>
        </w:rPr>
      </w:pPr>
      <w:r w:rsidRPr="005B0C26">
        <w:rPr>
          <w:rFonts w:ascii="Times New Roman" w:eastAsiaTheme="minorEastAsia" w:hAnsi="Times New Roman" w:cs="Times New Roman"/>
          <w:b/>
          <w:bCs/>
          <w:sz w:val="24"/>
          <w:szCs w:val="24"/>
        </w:rPr>
        <w:t>Total Asset Turnover</w:t>
      </w:r>
    </w:p>
    <w:p w14:paraId="77F016FB" w14:textId="77777777" w:rsidR="00E43D56" w:rsidRPr="005B0C26" w:rsidRDefault="00E43D56" w:rsidP="00E80726">
      <w:pPr>
        <w:pStyle w:val="ListParagraph"/>
        <w:numPr>
          <w:ilvl w:val="1"/>
          <w:numId w:val="21"/>
        </w:numPr>
        <w:ind w:left="360"/>
        <w:rPr>
          <w:rFonts w:ascii="Times New Roman" w:hAnsi="Times New Roman" w:cs="Times New Roman"/>
          <w:b/>
          <w:bCs/>
          <w:sz w:val="24"/>
          <w:szCs w:val="24"/>
        </w:rPr>
      </w:pPr>
      <w:r w:rsidRPr="005B0C26">
        <w:rPr>
          <w:rFonts w:ascii="Times New Roman" w:eastAsiaTheme="minorEastAsia" w:hAnsi="Times New Roman" w:cs="Times New Roman"/>
          <w:b/>
          <w:bCs/>
          <w:sz w:val="24"/>
          <w:szCs w:val="24"/>
        </w:rPr>
        <w:t>Current Ratio</w:t>
      </w:r>
    </w:p>
    <w:p w14:paraId="50AEA533" w14:textId="77777777" w:rsidR="00E43D56" w:rsidRPr="005B0C26" w:rsidRDefault="00E43D56" w:rsidP="00E80726">
      <w:pPr>
        <w:pStyle w:val="ListParagraph"/>
        <w:numPr>
          <w:ilvl w:val="1"/>
          <w:numId w:val="21"/>
        </w:numPr>
        <w:ind w:left="360"/>
        <w:rPr>
          <w:rFonts w:ascii="Times New Roman" w:hAnsi="Times New Roman" w:cs="Times New Roman"/>
          <w:b/>
          <w:bCs/>
          <w:sz w:val="24"/>
          <w:szCs w:val="24"/>
        </w:rPr>
      </w:pPr>
      <w:r w:rsidRPr="005B0C26">
        <w:rPr>
          <w:rFonts w:ascii="Times New Roman" w:eastAsiaTheme="minorEastAsia" w:hAnsi="Times New Roman" w:cs="Times New Roman"/>
          <w:b/>
          <w:bCs/>
          <w:sz w:val="24"/>
          <w:szCs w:val="24"/>
        </w:rPr>
        <w:t>Quick Ratio</w:t>
      </w:r>
    </w:p>
    <w:p w14:paraId="570485D8" w14:textId="77777777" w:rsidR="00E43D56" w:rsidRPr="005B0C26" w:rsidRDefault="00E43D56" w:rsidP="00E80726">
      <w:pPr>
        <w:pStyle w:val="ListParagraph"/>
        <w:numPr>
          <w:ilvl w:val="1"/>
          <w:numId w:val="21"/>
        </w:numPr>
        <w:ind w:left="360"/>
        <w:rPr>
          <w:rFonts w:ascii="Times New Roman" w:hAnsi="Times New Roman" w:cs="Times New Roman"/>
          <w:b/>
          <w:bCs/>
          <w:sz w:val="24"/>
          <w:szCs w:val="24"/>
        </w:rPr>
      </w:pPr>
      <w:r w:rsidRPr="005B0C26">
        <w:rPr>
          <w:rFonts w:ascii="Times New Roman" w:eastAsiaTheme="minorEastAsia" w:hAnsi="Times New Roman" w:cs="Times New Roman"/>
          <w:b/>
          <w:bCs/>
          <w:sz w:val="24"/>
          <w:szCs w:val="24"/>
        </w:rPr>
        <w:t>LT Debt/Equity</w:t>
      </w:r>
    </w:p>
    <w:p w14:paraId="638F9405" w14:textId="77777777" w:rsidR="00E43D56" w:rsidRPr="005B0C26" w:rsidRDefault="00E43D56" w:rsidP="00E80726">
      <w:pPr>
        <w:pStyle w:val="ListParagraph"/>
        <w:numPr>
          <w:ilvl w:val="1"/>
          <w:numId w:val="21"/>
        </w:numPr>
        <w:ind w:left="360"/>
        <w:rPr>
          <w:rFonts w:ascii="Times New Roman" w:hAnsi="Times New Roman" w:cs="Times New Roman"/>
          <w:b/>
          <w:bCs/>
          <w:sz w:val="24"/>
          <w:szCs w:val="24"/>
        </w:rPr>
      </w:pPr>
      <w:r w:rsidRPr="005B0C26">
        <w:rPr>
          <w:rFonts w:ascii="Times New Roman" w:eastAsiaTheme="minorEastAsia" w:hAnsi="Times New Roman" w:cs="Times New Roman"/>
          <w:b/>
          <w:bCs/>
          <w:sz w:val="24"/>
          <w:szCs w:val="24"/>
        </w:rPr>
        <w:t>EBITDA/Interest Expense (Cash Coverage)</w:t>
      </w:r>
    </w:p>
    <w:p w14:paraId="06860396" w14:textId="77777777" w:rsidR="005B0C26" w:rsidRDefault="005B0C26" w:rsidP="005B0C26">
      <w:pPr>
        <w:rPr>
          <w:rFonts w:ascii="Times New Roman" w:hAnsi="Times New Roman" w:cs="Times New Roman"/>
          <w:b/>
          <w:bCs/>
          <w:sz w:val="24"/>
          <w:szCs w:val="24"/>
        </w:rPr>
        <w:sectPr w:rsidR="005B0C26" w:rsidSect="005B0C26">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2" w:space="288"/>
          <w:docGrid w:linePitch="360"/>
        </w:sectPr>
      </w:pPr>
    </w:p>
    <w:bookmarkEnd w:id="4"/>
    <w:p w14:paraId="5E4448CA" w14:textId="77777777" w:rsidR="005B0C26" w:rsidRDefault="005B0C26" w:rsidP="005B0C26">
      <w:pPr>
        <w:rPr>
          <w:rFonts w:ascii="Times New Roman" w:hAnsi="Times New Roman" w:cs="Times New Roman"/>
          <w:b/>
          <w:bCs/>
          <w:sz w:val="24"/>
          <w:szCs w:val="24"/>
        </w:rPr>
        <w:sectPr w:rsidR="005B0C26" w:rsidSect="00523E3B">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664ACE5E" w14:textId="3E96A30C" w:rsidR="005B0C26" w:rsidRDefault="005B0C26" w:rsidP="00861B85">
      <w:pPr>
        <w:ind w:left="720"/>
        <w:jc w:val="both"/>
        <w:rPr>
          <w:rFonts w:ascii="Times New Roman" w:hAnsi="Times New Roman" w:cs="Times New Roman"/>
          <w:sz w:val="24"/>
          <w:szCs w:val="24"/>
        </w:rPr>
      </w:pPr>
      <w:r w:rsidRPr="005B0C26">
        <w:rPr>
          <w:rFonts w:ascii="Times New Roman" w:hAnsi="Times New Roman" w:cs="Times New Roman"/>
          <w:sz w:val="24"/>
          <w:szCs w:val="24"/>
        </w:rPr>
        <w:t>In the table that follows, I provide a summary of key ratios for Markel over the last 3 years</w:t>
      </w:r>
      <w:r w:rsidR="000035E0">
        <w:rPr>
          <w:rFonts w:ascii="Times New Roman" w:hAnsi="Times New Roman" w:cs="Times New Roman"/>
          <w:sz w:val="24"/>
          <w:szCs w:val="24"/>
        </w:rPr>
        <w:t xml:space="preserve"> from S&amp;P NetAdvantage</w:t>
      </w:r>
      <w:r w:rsidRPr="005B0C26">
        <w:rPr>
          <w:rFonts w:ascii="Times New Roman" w:hAnsi="Times New Roman" w:cs="Times New Roman"/>
          <w:sz w:val="24"/>
          <w:szCs w:val="24"/>
        </w:rPr>
        <w:t>.</w:t>
      </w:r>
      <w:r w:rsidR="00861B85">
        <w:rPr>
          <w:rFonts w:ascii="Times New Roman" w:hAnsi="Times New Roman" w:cs="Times New Roman"/>
          <w:sz w:val="24"/>
          <w:szCs w:val="24"/>
        </w:rPr>
        <w:t xml:space="preserve"> Several of the ratios show improvement from 2022 to 2024. Return on Assets, which represents the percentage of net income relative to assets, was negligible in 2022 but has grown to 4%, showing that Markel earned $0.04 </w:t>
      </w:r>
      <w:r w:rsidR="00224B2C">
        <w:rPr>
          <w:rFonts w:ascii="Times New Roman" w:hAnsi="Times New Roman" w:cs="Times New Roman"/>
          <w:sz w:val="24"/>
          <w:szCs w:val="24"/>
        </w:rPr>
        <w:t xml:space="preserve">in net income </w:t>
      </w:r>
      <w:r w:rsidR="00861B85">
        <w:rPr>
          <w:rFonts w:ascii="Times New Roman" w:hAnsi="Times New Roman" w:cs="Times New Roman"/>
          <w:sz w:val="24"/>
          <w:szCs w:val="24"/>
        </w:rPr>
        <w:t>for every $1 of assets...Margins, both net and gross have grown...and the firm shows a healthy and rising cash coverage ratio coupled with falling long term debt relative to equity...My overall assessment given these results is that Markel is...</w:t>
      </w:r>
    </w:p>
    <w:p w14:paraId="11016CDB" w14:textId="77777777" w:rsidR="00224B2C" w:rsidRDefault="00224B2C" w:rsidP="00861B85">
      <w:pPr>
        <w:ind w:left="720"/>
        <w:jc w:val="both"/>
        <w:rPr>
          <w:rFonts w:ascii="Times New Roman" w:hAnsi="Times New Roman" w:cs="Times New Roman"/>
          <w:sz w:val="24"/>
          <w:szCs w:val="24"/>
        </w:rPr>
      </w:pPr>
    </w:p>
    <w:p w14:paraId="7A6E819C" w14:textId="77777777" w:rsidR="00224B2C" w:rsidRDefault="00224B2C" w:rsidP="00861B85">
      <w:pPr>
        <w:ind w:left="720"/>
        <w:jc w:val="both"/>
        <w:rPr>
          <w:rFonts w:ascii="Times New Roman" w:hAnsi="Times New Roman" w:cs="Times New Roman"/>
          <w:sz w:val="24"/>
          <w:szCs w:val="24"/>
        </w:rPr>
      </w:pPr>
    </w:p>
    <w:p w14:paraId="4D12FAF2" w14:textId="26C83722" w:rsidR="005B0C26" w:rsidRPr="005B0C26" w:rsidRDefault="005B0C26" w:rsidP="005B0C26">
      <w:pPr>
        <w:jc w:val="center"/>
        <w:rPr>
          <w:rFonts w:ascii="Times New Roman" w:hAnsi="Times New Roman" w:cs="Times New Roman"/>
          <w:b/>
          <w:sz w:val="24"/>
          <w:szCs w:val="24"/>
        </w:rPr>
      </w:pPr>
      <w:r>
        <w:rPr>
          <w:rFonts w:ascii="Times New Roman" w:hAnsi="Times New Roman" w:cs="Times New Roman"/>
          <w:b/>
          <w:bCs/>
          <w:sz w:val="24"/>
          <w:szCs w:val="24"/>
        </w:rPr>
        <w:lastRenderedPageBreak/>
        <w:t>Summary of Key Ratios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6"/>
        <w:gridCol w:w="876"/>
        <w:gridCol w:w="836"/>
        <w:gridCol w:w="836"/>
      </w:tblGrid>
      <w:tr w:rsidR="00951247" w14:paraId="6F4E44B4" w14:textId="77777777" w:rsidTr="000035E0">
        <w:trPr>
          <w:trHeight w:val="332"/>
          <w:jc w:val="center"/>
        </w:trPr>
        <w:tc>
          <w:tcPr>
            <w:tcW w:w="0" w:type="auto"/>
            <w:tcBorders>
              <w:top w:val="single" w:sz="4" w:space="0" w:color="auto"/>
              <w:bottom w:val="single" w:sz="4" w:space="0" w:color="auto"/>
            </w:tcBorders>
          </w:tcPr>
          <w:p w14:paraId="66FC95A9" w14:textId="57B2882C" w:rsidR="00951247" w:rsidRPr="000035E0" w:rsidRDefault="00951247">
            <w:pPr>
              <w:rPr>
                <w:rFonts w:ascii="Times New Roman" w:hAnsi="Times New Roman" w:cs="Times New Roman"/>
                <w:b/>
                <w:bCs/>
                <w:color w:val="000000" w:themeColor="text1"/>
                <w:sz w:val="24"/>
                <w:szCs w:val="24"/>
              </w:rPr>
            </w:pPr>
            <w:r w:rsidRPr="000035E0">
              <w:rPr>
                <w:rFonts w:ascii="Times New Roman" w:hAnsi="Times New Roman" w:cs="Times New Roman"/>
                <w:b/>
                <w:bCs/>
                <w:color w:val="000000" w:themeColor="text1"/>
                <w:sz w:val="24"/>
                <w:szCs w:val="24"/>
              </w:rPr>
              <w:t>Ratio</w:t>
            </w:r>
          </w:p>
        </w:tc>
        <w:tc>
          <w:tcPr>
            <w:tcW w:w="0" w:type="auto"/>
            <w:tcBorders>
              <w:top w:val="single" w:sz="4" w:space="0" w:color="auto"/>
              <w:bottom w:val="single" w:sz="4" w:space="0" w:color="auto"/>
            </w:tcBorders>
          </w:tcPr>
          <w:p w14:paraId="03067161" w14:textId="38CC6617" w:rsidR="00951247" w:rsidRPr="000035E0" w:rsidRDefault="00951247" w:rsidP="000035E0">
            <w:pPr>
              <w:jc w:val="center"/>
              <w:rPr>
                <w:rFonts w:ascii="Times New Roman" w:hAnsi="Times New Roman" w:cs="Times New Roman"/>
                <w:b/>
                <w:bCs/>
                <w:color w:val="000000" w:themeColor="text1"/>
                <w:sz w:val="24"/>
                <w:szCs w:val="24"/>
              </w:rPr>
            </w:pPr>
            <w:r w:rsidRPr="000035E0">
              <w:rPr>
                <w:rFonts w:ascii="Times New Roman" w:hAnsi="Times New Roman" w:cs="Times New Roman"/>
                <w:b/>
                <w:bCs/>
                <w:color w:val="000000" w:themeColor="text1"/>
                <w:sz w:val="24"/>
                <w:szCs w:val="24"/>
              </w:rPr>
              <w:t>202</w:t>
            </w:r>
            <w:r w:rsidR="005B0C26" w:rsidRPr="000035E0">
              <w:rPr>
                <w:rFonts w:ascii="Times New Roman" w:hAnsi="Times New Roman" w:cs="Times New Roman"/>
                <w:b/>
                <w:bCs/>
                <w:color w:val="000000" w:themeColor="text1"/>
                <w:sz w:val="24"/>
                <w:szCs w:val="24"/>
              </w:rPr>
              <w:t>2</w:t>
            </w:r>
          </w:p>
        </w:tc>
        <w:tc>
          <w:tcPr>
            <w:tcW w:w="0" w:type="auto"/>
            <w:tcBorders>
              <w:top w:val="single" w:sz="4" w:space="0" w:color="auto"/>
              <w:bottom w:val="single" w:sz="4" w:space="0" w:color="auto"/>
            </w:tcBorders>
          </w:tcPr>
          <w:p w14:paraId="22A5C4AC" w14:textId="755F3A75" w:rsidR="00951247" w:rsidRPr="000035E0" w:rsidRDefault="00951247" w:rsidP="000035E0">
            <w:pPr>
              <w:jc w:val="center"/>
              <w:rPr>
                <w:rFonts w:ascii="Times New Roman" w:hAnsi="Times New Roman" w:cs="Times New Roman"/>
                <w:b/>
                <w:bCs/>
                <w:color w:val="000000" w:themeColor="text1"/>
                <w:sz w:val="24"/>
                <w:szCs w:val="24"/>
              </w:rPr>
            </w:pPr>
            <w:r w:rsidRPr="000035E0">
              <w:rPr>
                <w:rFonts w:ascii="Times New Roman" w:hAnsi="Times New Roman" w:cs="Times New Roman"/>
                <w:b/>
                <w:bCs/>
                <w:color w:val="000000" w:themeColor="text1"/>
                <w:sz w:val="24"/>
                <w:szCs w:val="24"/>
              </w:rPr>
              <w:t>202</w:t>
            </w:r>
            <w:r w:rsidR="005B0C26" w:rsidRPr="000035E0">
              <w:rPr>
                <w:rFonts w:ascii="Times New Roman" w:hAnsi="Times New Roman" w:cs="Times New Roman"/>
                <w:b/>
                <w:bCs/>
                <w:color w:val="000000" w:themeColor="text1"/>
                <w:sz w:val="24"/>
                <w:szCs w:val="24"/>
              </w:rPr>
              <w:t>3</w:t>
            </w:r>
          </w:p>
        </w:tc>
        <w:tc>
          <w:tcPr>
            <w:tcW w:w="0" w:type="auto"/>
            <w:tcBorders>
              <w:top w:val="single" w:sz="4" w:space="0" w:color="auto"/>
              <w:bottom w:val="single" w:sz="4" w:space="0" w:color="auto"/>
            </w:tcBorders>
          </w:tcPr>
          <w:p w14:paraId="293848D1" w14:textId="584DED3F" w:rsidR="00951247" w:rsidRPr="000035E0" w:rsidRDefault="00951247" w:rsidP="000035E0">
            <w:pPr>
              <w:jc w:val="center"/>
              <w:rPr>
                <w:rFonts w:ascii="Times New Roman" w:hAnsi="Times New Roman" w:cs="Times New Roman"/>
                <w:b/>
                <w:bCs/>
                <w:color w:val="000000" w:themeColor="text1"/>
                <w:sz w:val="24"/>
                <w:szCs w:val="24"/>
              </w:rPr>
            </w:pPr>
            <w:r w:rsidRPr="000035E0">
              <w:rPr>
                <w:rFonts w:ascii="Times New Roman" w:hAnsi="Times New Roman" w:cs="Times New Roman"/>
                <w:b/>
                <w:bCs/>
                <w:color w:val="000000" w:themeColor="text1"/>
                <w:sz w:val="24"/>
                <w:szCs w:val="24"/>
              </w:rPr>
              <w:t>202</w:t>
            </w:r>
            <w:r w:rsidR="005B0C26" w:rsidRPr="000035E0">
              <w:rPr>
                <w:rFonts w:ascii="Times New Roman" w:hAnsi="Times New Roman" w:cs="Times New Roman"/>
                <w:b/>
                <w:bCs/>
                <w:color w:val="000000" w:themeColor="text1"/>
                <w:sz w:val="24"/>
                <w:szCs w:val="24"/>
              </w:rPr>
              <w:t>4</w:t>
            </w:r>
          </w:p>
        </w:tc>
      </w:tr>
      <w:tr w:rsidR="005B0C26" w14:paraId="7DB5A2CB" w14:textId="77777777" w:rsidTr="000035E0">
        <w:trPr>
          <w:jc w:val="center"/>
        </w:trPr>
        <w:tc>
          <w:tcPr>
            <w:tcW w:w="0" w:type="auto"/>
            <w:tcBorders>
              <w:top w:val="single" w:sz="4" w:space="0" w:color="auto"/>
            </w:tcBorders>
          </w:tcPr>
          <w:p w14:paraId="28AEA8E0" w14:textId="49439C37" w:rsidR="005B0C26" w:rsidRPr="005B0C26" w:rsidRDefault="005B0C26" w:rsidP="005B0C26">
            <w:pPr>
              <w:rPr>
                <w:rFonts w:ascii="Times New Roman" w:hAnsi="Times New Roman" w:cs="Times New Roman"/>
                <w:color w:val="000000" w:themeColor="text1"/>
                <w:sz w:val="24"/>
                <w:szCs w:val="24"/>
              </w:rPr>
            </w:pPr>
            <w:r w:rsidRPr="005B0C26">
              <w:rPr>
                <w:rFonts w:ascii="Times New Roman" w:hAnsi="Times New Roman" w:cs="Times New Roman"/>
                <w:color w:val="000000" w:themeColor="text1"/>
                <w:sz w:val="24"/>
                <w:szCs w:val="24"/>
              </w:rPr>
              <w:t>ROA</w:t>
            </w:r>
          </w:p>
        </w:tc>
        <w:tc>
          <w:tcPr>
            <w:tcW w:w="0" w:type="auto"/>
            <w:tcBorders>
              <w:top w:val="single" w:sz="4" w:space="0" w:color="auto"/>
            </w:tcBorders>
          </w:tcPr>
          <w:p w14:paraId="4F915A0A" w14:textId="374A728F" w:rsidR="005B0C26" w:rsidRPr="005B0C26" w:rsidRDefault="005B0C26" w:rsidP="000035E0">
            <w:pPr>
              <w:jc w:val="center"/>
              <w:rPr>
                <w:rFonts w:ascii="Times New Roman" w:hAnsi="Times New Roman" w:cs="Times New Roman"/>
                <w:color w:val="000000" w:themeColor="text1"/>
                <w:sz w:val="24"/>
                <w:szCs w:val="24"/>
              </w:rPr>
            </w:pPr>
            <w:r w:rsidRPr="005B0C26">
              <w:rPr>
                <w:rFonts w:ascii="Times New Roman" w:hAnsi="Times New Roman" w:cs="Times New Roman"/>
                <w:color w:val="000000"/>
                <w:sz w:val="24"/>
                <w:szCs w:val="24"/>
              </w:rPr>
              <w:t>(0.0%)</w:t>
            </w:r>
          </w:p>
        </w:tc>
        <w:tc>
          <w:tcPr>
            <w:tcW w:w="0" w:type="auto"/>
            <w:tcBorders>
              <w:top w:val="single" w:sz="4" w:space="0" w:color="auto"/>
            </w:tcBorders>
          </w:tcPr>
          <w:p w14:paraId="046ED4D4" w14:textId="7A958640" w:rsidR="005B0C26" w:rsidRPr="005B0C26" w:rsidRDefault="005B0C26" w:rsidP="000035E0">
            <w:pPr>
              <w:jc w:val="center"/>
              <w:rPr>
                <w:rFonts w:ascii="Times New Roman" w:hAnsi="Times New Roman" w:cs="Times New Roman"/>
                <w:color w:val="000000" w:themeColor="text1"/>
                <w:sz w:val="24"/>
                <w:szCs w:val="24"/>
              </w:rPr>
            </w:pPr>
            <w:r w:rsidRPr="005B0C26">
              <w:rPr>
                <w:rFonts w:ascii="Times New Roman" w:hAnsi="Times New Roman" w:cs="Times New Roman"/>
                <w:color w:val="000000"/>
                <w:sz w:val="24"/>
                <w:szCs w:val="24"/>
              </w:rPr>
              <w:t>3.5%</w:t>
            </w:r>
          </w:p>
        </w:tc>
        <w:tc>
          <w:tcPr>
            <w:tcW w:w="0" w:type="auto"/>
            <w:tcBorders>
              <w:top w:val="single" w:sz="4" w:space="0" w:color="auto"/>
            </w:tcBorders>
          </w:tcPr>
          <w:p w14:paraId="1638021C" w14:textId="69003119" w:rsidR="005B0C26" w:rsidRPr="005B0C26" w:rsidRDefault="005B0C26" w:rsidP="000035E0">
            <w:pPr>
              <w:jc w:val="center"/>
              <w:rPr>
                <w:rFonts w:ascii="Times New Roman" w:hAnsi="Times New Roman" w:cs="Times New Roman"/>
                <w:color w:val="000000" w:themeColor="text1"/>
                <w:sz w:val="24"/>
                <w:szCs w:val="24"/>
              </w:rPr>
            </w:pPr>
            <w:r w:rsidRPr="005B0C26">
              <w:rPr>
                <w:rFonts w:ascii="Times New Roman" w:hAnsi="Times New Roman" w:cs="Times New Roman"/>
                <w:color w:val="000000"/>
                <w:sz w:val="24"/>
                <w:szCs w:val="24"/>
              </w:rPr>
              <w:t>4.0%</w:t>
            </w:r>
          </w:p>
        </w:tc>
      </w:tr>
      <w:tr w:rsidR="005B0C26" w14:paraId="6B5F602C" w14:textId="77777777" w:rsidTr="000035E0">
        <w:trPr>
          <w:jc w:val="center"/>
        </w:trPr>
        <w:tc>
          <w:tcPr>
            <w:tcW w:w="0" w:type="auto"/>
          </w:tcPr>
          <w:p w14:paraId="41B8C7CF" w14:textId="0CE02037" w:rsidR="005B0C26" w:rsidRPr="005B0C26" w:rsidRDefault="005B0C26" w:rsidP="005B0C26">
            <w:pPr>
              <w:rPr>
                <w:rFonts w:ascii="Times New Roman" w:hAnsi="Times New Roman" w:cs="Times New Roman"/>
                <w:color w:val="000000" w:themeColor="text1"/>
                <w:sz w:val="24"/>
                <w:szCs w:val="24"/>
              </w:rPr>
            </w:pPr>
            <w:r w:rsidRPr="005B0C26">
              <w:rPr>
                <w:rFonts w:ascii="Times New Roman" w:hAnsi="Times New Roman" w:cs="Times New Roman"/>
                <w:color w:val="000000" w:themeColor="text1"/>
                <w:sz w:val="24"/>
                <w:szCs w:val="24"/>
              </w:rPr>
              <w:t>ROE</w:t>
            </w:r>
          </w:p>
        </w:tc>
        <w:tc>
          <w:tcPr>
            <w:tcW w:w="0" w:type="auto"/>
          </w:tcPr>
          <w:p w14:paraId="68D6192D" w14:textId="0C37739B" w:rsidR="005B0C26" w:rsidRPr="005B0C26" w:rsidRDefault="005B0C26" w:rsidP="000035E0">
            <w:pPr>
              <w:jc w:val="center"/>
              <w:rPr>
                <w:rFonts w:ascii="Times New Roman" w:hAnsi="Times New Roman" w:cs="Times New Roman"/>
                <w:color w:val="000000" w:themeColor="text1"/>
                <w:sz w:val="24"/>
                <w:szCs w:val="24"/>
              </w:rPr>
            </w:pPr>
            <w:r w:rsidRPr="005B0C26">
              <w:rPr>
                <w:rFonts w:ascii="Times New Roman" w:hAnsi="Times New Roman" w:cs="Times New Roman"/>
                <w:color w:val="000000"/>
                <w:sz w:val="24"/>
                <w:szCs w:val="24"/>
              </w:rPr>
              <w:t>(0.7%)</w:t>
            </w:r>
          </w:p>
        </w:tc>
        <w:tc>
          <w:tcPr>
            <w:tcW w:w="0" w:type="auto"/>
          </w:tcPr>
          <w:p w14:paraId="7890D066" w14:textId="22DE9D49" w:rsidR="005B0C26" w:rsidRPr="005B0C26" w:rsidRDefault="005B0C26" w:rsidP="000035E0">
            <w:pPr>
              <w:jc w:val="center"/>
              <w:rPr>
                <w:rFonts w:ascii="Times New Roman" w:hAnsi="Times New Roman" w:cs="Times New Roman"/>
                <w:color w:val="000000" w:themeColor="text1"/>
                <w:sz w:val="24"/>
                <w:szCs w:val="24"/>
              </w:rPr>
            </w:pPr>
            <w:r w:rsidRPr="005B0C26">
              <w:rPr>
                <w:rFonts w:ascii="Times New Roman" w:hAnsi="Times New Roman" w:cs="Times New Roman"/>
                <w:color w:val="000000"/>
                <w:sz w:val="24"/>
                <w:szCs w:val="24"/>
              </w:rPr>
              <w:t>14.4%</w:t>
            </w:r>
          </w:p>
        </w:tc>
        <w:tc>
          <w:tcPr>
            <w:tcW w:w="0" w:type="auto"/>
          </w:tcPr>
          <w:p w14:paraId="6697DF53" w14:textId="55CF803A" w:rsidR="005B0C26" w:rsidRPr="005B0C26" w:rsidRDefault="005B0C26" w:rsidP="000035E0">
            <w:pPr>
              <w:jc w:val="center"/>
              <w:rPr>
                <w:rFonts w:ascii="Times New Roman" w:hAnsi="Times New Roman" w:cs="Times New Roman"/>
                <w:color w:val="000000" w:themeColor="text1"/>
                <w:sz w:val="24"/>
                <w:szCs w:val="24"/>
              </w:rPr>
            </w:pPr>
            <w:r w:rsidRPr="005B0C26">
              <w:rPr>
                <w:rFonts w:ascii="Times New Roman" w:hAnsi="Times New Roman" w:cs="Times New Roman"/>
                <w:color w:val="000000"/>
                <w:sz w:val="24"/>
                <w:szCs w:val="24"/>
              </w:rPr>
              <w:t>17.3%</w:t>
            </w:r>
          </w:p>
        </w:tc>
      </w:tr>
      <w:tr w:rsidR="005B0C26" w14:paraId="36E78EBE" w14:textId="77777777" w:rsidTr="000035E0">
        <w:trPr>
          <w:jc w:val="center"/>
        </w:trPr>
        <w:tc>
          <w:tcPr>
            <w:tcW w:w="0" w:type="auto"/>
          </w:tcPr>
          <w:p w14:paraId="374DD839" w14:textId="3DB84F1C" w:rsidR="005B0C26" w:rsidRPr="005B0C26" w:rsidRDefault="005B0C26" w:rsidP="005B0C26">
            <w:pPr>
              <w:rPr>
                <w:rFonts w:ascii="Times New Roman" w:hAnsi="Times New Roman" w:cs="Times New Roman"/>
                <w:color w:val="000000" w:themeColor="text1"/>
                <w:sz w:val="24"/>
                <w:szCs w:val="24"/>
              </w:rPr>
            </w:pPr>
            <w:r w:rsidRPr="005B0C26">
              <w:rPr>
                <w:rFonts w:ascii="Times New Roman" w:hAnsi="Times New Roman" w:cs="Times New Roman"/>
                <w:color w:val="000000" w:themeColor="text1"/>
                <w:sz w:val="24"/>
                <w:szCs w:val="24"/>
              </w:rPr>
              <w:t>Gross Margin</w:t>
            </w:r>
          </w:p>
        </w:tc>
        <w:tc>
          <w:tcPr>
            <w:tcW w:w="0" w:type="auto"/>
          </w:tcPr>
          <w:p w14:paraId="406CCC70" w14:textId="36043D27" w:rsidR="005B0C26" w:rsidRPr="005B0C26" w:rsidRDefault="005B0C26" w:rsidP="000035E0">
            <w:pPr>
              <w:jc w:val="center"/>
              <w:rPr>
                <w:rFonts w:ascii="Times New Roman" w:hAnsi="Times New Roman" w:cs="Times New Roman"/>
                <w:color w:val="000000" w:themeColor="text1"/>
                <w:sz w:val="24"/>
                <w:szCs w:val="24"/>
              </w:rPr>
            </w:pPr>
            <w:r w:rsidRPr="005B0C26">
              <w:rPr>
                <w:rFonts w:ascii="Times New Roman" w:hAnsi="Times New Roman" w:cs="Times New Roman"/>
                <w:color w:val="000000"/>
                <w:sz w:val="24"/>
                <w:szCs w:val="24"/>
              </w:rPr>
              <w:t>40.4%</w:t>
            </w:r>
          </w:p>
        </w:tc>
        <w:tc>
          <w:tcPr>
            <w:tcW w:w="0" w:type="auto"/>
          </w:tcPr>
          <w:p w14:paraId="28EBB457" w14:textId="44C04BFA" w:rsidR="005B0C26" w:rsidRPr="005B0C26" w:rsidRDefault="005B0C26" w:rsidP="000035E0">
            <w:pPr>
              <w:jc w:val="center"/>
              <w:rPr>
                <w:rFonts w:ascii="Times New Roman" w:hAnsi="Times New Roman" w:cs="Times New Roman"/>
                <w:color w:val="000000" w:themeColor="text1"/>
                <w:sz w:val="24"/>
                <w:szCs w:val="24"/>
              </w:rPr>
            </w:pPr>
            <w:r w:rsidRPr="005B0C26">
              <w:rPr>
                <w:rFonts w:ascii="Times New Roman" w:hAnsi="Times New Roman" w:cs="Times New Roman"/>
                <w:color w:val="000000"/>
                <w:sz w:val="24"/>
                <w:szCs w:val="24"/>
              </w:rPr>
              <w:t>48.3%</w:t>
            </w:r>
          </w:p>
        </w:tc>
        <w:tc>
          <w:tcPr>
            <w:tcW w:w="0" w:type="auto"/>
          </w:tcPr>
          <w:p w14:paraId="7572244D" w14:textId="5A8A84DE" w:rsidR="005B0C26" w:rsidRPr="005B0C26" w:rsidRDefault="005B0C26" w:rsidP="000035E0">
            <w:pPr>
              <w:jc w:val="center"/>
              <w:rPr>
                <w:rFonts w:ascii="Times New Roman" w:hAnsi="Times New Roman" w:cs="Times New Roman"/>
                <w:color w:val="000000" w:themeColor="text1"/>
                <w:sz w:val="24"/>
                <w:szCs w:val="24"/>
              </w:rPr>
            </w:pPr>
            <w:r w:rsidRPr="005B0C26">
              <w:rPr>
                <w:rFonts w:ascii="Times New Roman" w:hAnsi="Times New Roman" w:cs="Times New Roman"/>
                <w:color w:val="000000"/>
                <w:sz w:val="24"/>
                <w:szCs w:val="24"/>
              </w:rPr>
              <w:t>51.7%</w:t>
            </w:r>
          </w:p>
        </w:tc>
      </w:tr>
      <w:tr w:rsidR="005B0C26" w14:paraId="6FA9D836" w14:textId="77777777" w:rsidTr="000035E0">
        <w:trPr>
          <w:jc w:val="center"/>
        </w:trPr>
        <w:tc>
          <w:tcPr>
            <w:tcW w:w="0" w:type="auto"/>
          </w:tcPr>
          <w:p w14:paraId="770D7234" w14:textId="758B3D02" w:rsidR="005B0C26" w:rsidRPr="005B0C26" w:rsidRDefault="005B0C26" w:rsidP="005B0C26">
            <w:pPr>
              <w:rPr>
                <w:rFonts w:ascii="Times New Roman" w:hAnsi="Times New Roman" w:cs="Times New Roman"/>
                <w:color w:val="000000" w:themeColor="text1"/>
                <w:sz w:val="24"/>
                <w:szCs w:val="24"/>
              </w:rPr>
            </w:pPr>
            <w:r w:rsidRPr="005B0C26">
              <w:rPr>
                <w:rFonts w:ascii="Times New Roman" w:hAnsi="Times New Roman" w:cs="Times New Roman"/>
                <w:color w:val="000000" w:themeColor="text1"/>
                <w:sz w:val="24"/>
                <w:szCs w:val="24"/>
              </w:rPr>
              <w:t>Net Income Margin</w:t>
            </w:r>
          </w:p>
        </w:tc>
        <w:tc>
          <w:tcPr>
            <w:tcW w:w="0" w:type="auto"/>
          </w:tcPr>
          <w:p w14:paraId="59E320DC" w14:textId="2D1F0DD4" w:rsidR="005B0C26" w:rsidRPr="005B0C26" w:rsidRDefault="005B0C26" w:rsidP="000035E0">
            <w:pPr>
              <w:jc w:val="center"/>
              <w:rPr>
                <w:rFonts w:ascii="Times New Roman" w:hAnsi="Times New Roman" w:cs="Times New Roman"/>
                <w:color w:val="000000" w:themeColor="text1"/>
                <w:sz w:val="24"/>
                <w:szCs w:val="24"/>
              </w:rPr>
            </w:pPr>
            <w:r w:rsidRPr="005B0C26">
              <w:rPr>
                <w:rFonts w:ascii="Times New Roman" w:hAnsi="Times New Roman" w:cs="Times New Roman"/>
                <w:color w:val="000000"/>
                <w:sz w:val="24"/>
                <w:szCs w:val="24"/>
              </w:rPr>
              <w:t>(1.9%)</w:t>
            </w:r>
          </w:p>
        </w:tc>
        <w:tc>
          <w:tcPr>
            <w:tcW w:w="0" w:type="auto"/>
          </w:tcPr>
          <w:p w14:paraId="79708E61" w14:textId="253630BA" w:rsidR="005B0C26" w:rsidRPr="005B0C26" w:rsidRDefault="005B0C26" w:rsidP="000035E0">
            <w:pPr>
              <w:jc w:val="center"/>
              <w:rPr>
                <w:rFonts w:ascii="Times New Roman" w:hAnsi="Times New Roman" w:cs="Times New Roman"/>
                <w:color w:val="000000" w:themeColor="text1"/>
                <w:sz w:val="24"/>
                <w:szCs w:val="24"/>
              </w:rPr>
            </w:pPr>
            <w:r w:rsidRPr="005B0C26">
              <w:rPr>
                <w:rFonts w:ascii="Times New Roman" w:hAnsi="Times New Roman" w:cs="Times New Roman"/>
                <w:color w:val="000000"/>
                <w:sz w:val="24"/>
                <w:szCs w:val="24"/>
              </w:rPr>
              <w:t>12.6%</w:t>
            </w:r>
          </w:p>
        </w:tc>
        <w:tc>
          <w:tcPr>
            <w:tcW w:w="0" w:type="auto"/>
          </w:tcPr>
          <w:p w14:paraId="6E13261B" w14:textId="099C3DE3" w:rsidR="005B0C26" w:rsidRPr="005B0C26" w:rsidRDefault="005B0C26" w:rsidP="000035E0">
            <w:pPr>
              <w:jc w:val="center"/>
              <w:rPr>
                <w:rFonts w:ascii="Times New Roman" w:hAnsi="Times New Roman" w:cs="Times New Roman"/>
                <w:color w:val="000000" w:themeColor="text1"/>
                <w:sz w:val="24"/>
                <w:szCs w:val="24"/>
              </w:rPr>
            </w:pPr>
            <w:r w:rsidRPr="005B0C26">
              <w:rPr>
                <w:rFonts w:ascii="Times New Roman" w:hAnsi="Times New Roman" w:cs="Times New Roman"/>
                <w:color w:val="000000"/>
                <w:sz w:val="24"/>
                <w:szCs w:val="24"/>
              </w:rPr>
              <w:t>16.5%</w:t>
            </w:r>
          </w:p>
        </w:tc>
      </w:tr>
      <w:tr w:rsidR="005B0C26" w14:paraId="39C48C4F" w14:textId="77777777" w:rsidTr="000035E0">
        <w:trPr>
          <w:jc w:val="center"/>
        </w:trPr>
        <w:tc>
          <w:tcPr>
            <w:tcW w:w="0" w:type="auto"/>
          </w:tcPr>
          <w:p w14:paraId="04989AAC" w14:textId="173EB660" w:rsidR="005B0C26" w:rsidRPr="005B0C26" w:rsidRDefault="005B0C26" w:rsidP="005B0C26">
            <w:pPr>
              <w:rPr>
                <w:rFonts w:ascii="Times New Roman" w:hAnsi="Times New Roman" w:cs="Times New Roman"/>
                <w:color w:val="000000" w:themeColor="text1"/>
                <w:sz w:val="24"/>
                <w:szCs w:val="24"/>
              </w:rPr>
            </w:pPr>
            <w:r w:rsidRPr="005B0C26">
              <w:rPr>
                <w:rFonts w:ascii="Times New Roman" w:hAnsi="Times New Roman" w:cs="Times New Roman"/>
                <w:color w:val="000000" w:themeColor="text1"/>
                <w:sz w:val="24"/>
                <w:szCs w:val="24"/>
              </w:rPr>
              <w:t>Total Asset Turnover</w:t>
            </w:r>
          </w:p>
        </w:tc>
        <w:tc>
          <w:tcPr>
            <w:tcW w:w="0" w:type="auto"/>
          </w:tcPr>
          <w:p w14:paraId="6D727998" w14:textId="737F5386" w:rsidR="005B0C26" w:rsidRPr="005B0C26" w:rsidRDefault="005B0C26" w:rsidP="000035E0">
            <w:pPr>
              <w:jc w:val="center"/>
              <w:rPr>
                <w:rFonts w:ascii="Times New Roman" w:hAnsi="Times New Roman" w:cs="Times New Roman"/>
                <w:color w:val="000000" w:themeColor="text1"/>
                <w:sz w:val="24"/>
                <w:szCs w:val="24"/>
              </w:rPr>
            </w:pPr>
            <w:r w:rsidRPr="005B0C26">
              <w:rPr>
                <w:rFonts w:ascii="Times New Roman" w:hAnsi="Times New Roman" w:cs="Times New Roman"/>
                <w:color w:val="000000"/>
                <w:sz w:val="24"/>
                <w:szCs w:val="24"/>
              </w:rPr>
              <w:t>0.2x</w:t>
            </w:r>
          </w:p>
        </w:tc>
        <w:tc>
          <w:tcPr>
            <w:tcW w:w="0" w:type="auto"/>
          </w:tcPr>
          <w:p w14:paraId="5BAFB680" w14:textId="76B42ADF" w:rsidR="005B0C26" w:rsidRPr="005B0C26" w:rsidRDefault="005B0C26" w:rsidP="000035E0">
            <w:pPr>
              <w:jc w:val="center"/>
              <w:rPr>
                <w:rFonts w:ascii="Times New Roman" w:hAnsi="Times New Roman" w:cs="Times New Roman"/>
                <w:color w:val="000000" w:themeColor="text1"/>
                <w:sz w:val="24"/>
                <w:szCs w:val="24"/>
              </w:rPr>
            </w:pPr>
            <w:r w:rsidRPr="005B0C26">
              <w:rPr>
                <w:rFonts w:ascii="Times New Roman" w:hAnsi="Times New Roman" w:cs="Times New Roman"/>
                <w:color w:val="000000"/>
                <w:sz w:val="24"/>
                <w:szCs w:val="24"/>
              </w:rPr>
              <w:t>0.3x</w:t>
            </w:r>
          </w:p>
        </w:tc>
        <w:tc>
          <w:tcPr>
            <w:tcW w:w="0" w:type="auto"/>
          </w:tcPr>
          <w:p w14:paraId="7EF9371F" w14:textId="78DD9C21" w:rsidR="005B0C26" w:rsidRPr="005B0C26" w:rsidRDefault="005B0C26" w:rsidP="000035E0">
            <w:pPr>
              <w:jc w:val="center"/>
              <w:rPr>
                <w:rFonts w:ascii="Times New Roman" w:hAnsi="Times New Roman" w:cs="Times New Roman"/>
                <w:color w:val="000000" w:themeColor="text1"/>
                <w:sz w:val="24"/>
                <w:szCs w:val="24"/>
              </w:rPr>
            </w:pPr>
            <w:r w:rsidRPr="005B0C26">
              <w:rPr>
                <w:rFonts w:ascii="Times New Roman" w:hAnsi="Times New Roman" w:cs="Times New Roman"/>
                <w:color w:val="000000"/>
                <w:sz w:val="24"/>
                <w:szCs w:val="24"/>
              </w:rPr>
              <w:t>0.3x</w:t>
            </w:r>
          </w:p>
        </w:tc>
      </w:tr>
      <w:tr w:rsidR="005B0C26" w14:paraId="0108B441" w14:textId="77777777" w:rsidTr="000035E0">
        <w:trPr>
          <w:jc w:val="center"/>
        </w:trPr>
        <w:tc>
          <w:tcPr>
            <w:tcW w:w="0" w:type="auto"/>
          </w:tcPr>
          <w:p w14:paraId="2B189DC9" w14:textId="0A8626DB" w:rsidR="005B0C26" w:rsidRPr="005B0C26" w:rsidRDefault="005B0C26" w:rsidP="005B0C26">
            <w:pPr>
              <w:rPr>
                <w:rFonts w:ascii="Times New Roman" w:hAnsi="Times New Roman" w:cs="Times New Roman"/>
                <w:color w:val="000000" w:themeColor="text1"/>
                <w:sz w:val="24"/>
                <w:szCs w:val="24"/>
              </w:rPr>
            </w:pPr>
            <w:r w:rsidRPr="005B0C26">
              <w:rPr>
                <w:rFonts w:ascii="Times New Roman" w:hAnsi="Times New Roman" w:cs="Times New Roman"/>
                <w:color w:val="000000" w:themeColor="text1"/>
                <w:sz w:val="24"/>
                <w:szCs w:val="24"/>
              </w:rPr>
              <w:t>Current Ratio</w:t>
            </w:r>
          </w:p>
        </w:tc>
        <w:tc>
          <w:tcPr>
            <w:tcW w:w="0" w:type="auto"/>
          </w:tcPr>
          <w:p w14:paraId="6A69F5CB" w14:textId="046BE64B" w:rsidR="005B0C26" w:rsidRPr="005B0C26" w:rsidRDefault="005B0C26" w:rsidP="000035E0">
            <w:pPr>
              <w:jc w:val="center"/>
              <w:rPr>
                <w:rFonts w:ascii="Times New Roman" w:hAnsi="Times New Roman" w:cs="Times New Roman"/>
                <w:color w:val="000000" w:themeColor="text1"/>
                <w:sz w:val="24"/>
                <w:szCs w:val="24"/>
              </w:rPr>
            </w:pPr>
            <w:r w:rsidRPr="005B0C26">
              <w:rPr>
                <w:rFonts w:ascii="Times New Roman" w:hAnsi="Times New Roman" w:cs="Times New Roman"/>
                <w:color w:val="000000"/>
                <w:sz w:val="24"/>
                <w:szCs w:val="24"/>
              </w:rPr>
              <w:t>3.2x</w:t>
            </w:r>
          </w:p>
        </w:tc>
        <w:tc>
          <w:tcPr>
            <w:tcW w:w="0" w:type="auto"/>
          </w:tcPr>
          <w:p w14:paraId="7E075B69" w14:textId="3A6E6B8A" w:rsidR="005B0C26" w:rsidRPr="005B0C26" w:rsidRDefault="005B0C26" w:rsidP="000035E0">
            <w:pPr>
              <w:jc w:val="center"/>
              <w:rPr>
                <w:rFonts w:ascii="Times New Roman" w:hAnsi="Times New Roman" w:cs="Times New Roman"/>
                <w:color w:val="000000" w:themeColor="text1"/>
                <w:sz w:val="24"/>
                <w:szCs w:val="24"/>
              </w:rPr>
            </w:pPr>
            <w:r w:rsidRPr="005B0C26">
              <w:rPr>
                <w:rFonts w:ascii="Times New Roman" w:hAnsi="Times New Roman" w:cs="Times New Roman"/>
                <w:color w:val="000000"/>
                <w:sz w:val="24"/>
                <w:szCs w:val="24"/>
              </w:rPr>
              <w:t>2.9x</w:t>
            </w:r>
          </w:p>
        </w:tc>
        <w:tc>
          <w:tcPr>
            <w:tcW w:w="0" w:type="auto"/>
          </w:tcPr>
          <w:p w14:paraId="7B4AD635" w14:textId="392071FD" w:rsidR="005B0C26" w:rsidRPr="005B0C26" w:rsidRDefault="005B0C26" w:rsidP="000035E0">
            <w:pPr>
              <w:jc w:val="center"/>
              <w:rPr>
                <w:rFonts w:ascii="Times New Roman" w:hAnsi="Times New Roman" w:cs="Times New Roman"/>
                <w:color w:val="000000" w:themeColor="text1"/>
                <w:sz w:val="24"/>
                <w:szCs w:val="24"/>
              </w:rPr>
            </w:pPr>
            <w:r w:rsidRPr="005B0C26">
              <w:rPr>
                <w:rFonts w:ascii="Times New Roman" w:hAnsi="Times New Roman" w:cs="Times New Roman"/>
                <w:color w:val="000000"/>
                <w:sz w:val="24"/>
                <w:szCs w:val="24"/>
              </w:rPr>
              <w:t>2.9x</w:t>
            </w:r>
          </w:p>
        </w:tc>
      </w:tr>
      <w:tr w:rsidR="005B0C26" w14:paraId="4EAB8A50" w14:textId="77777777" w:rsidTr="000035E0">
        <w:trPr>
          <w:jc w:val="center"/>
        </w:trPr>
        <w:tc>
          <w:tcPr>
            <w:tcW w:w="0" w:type="auto"/>
          </w:tcPr>
          <w:p w14:paraId="036639AD" w14:textId="20E7BA6C" w:rsidR="005B0C26" w:rsidRPr="005B0C26" w:rsidRDefault="005B0C26" w:rsidP="005B0C26">
            <w:pPr>
              <w:rPr>
                <w:rFonts w:ascii="Times New Roman" w:hAnsi="Times New Roman" w:cs="Times New Roman"/>
                <w:color w:val="000000" w:themeColor="text1"/>
                <w:sz w:val="24"/>
                <w:szCs w:val="24"/>
              </w:rPr>
            </w:pPr>
            <w:r w:rsidRPr="005B0C26">
              <w:rPr>
                <w:rFonts w:ascii="Times New Roman" w:hAnsi="Times New Roman" w:cs="Times New Roman"/>
                <w:color w:val="000000" w:themeColor="text1"/>
                <w:sz w:val="24"/>
                <w:szCs w:val="24"/>
              </w:rPr>
              <w:t>Quick Ratio</w:t>
            </w:r>
          </w:p>
        </w:tc>
        <w:tc>
          <w:tcPr>
            <w:tcW w:w="0" w:type="auto"/>
          </w:tcPr>
          <w:p w14:paraId="03BF4225" w14:textId="7CCEDC4D" w:rsidR="005B0C26" w:rsidRPr="005B0C26" w:rsidRDefault="005B0C26" w:rsidP="000035E0">
            <w:pPr>
              <w:jc w:val="center"/>
              <w:rPr>
                <w:rFonts w:ascii="Times New Roman" w:hAnsi="Times New Roman" w:cs="Times New Roman"/>
                <w:color w:val="000000" w:themeColor="text1"/>
                <w:sz w:val="24"/>
                <w:szCs w:val="24"/>
              </w:rPr>
            </w:pPr>
            <w:r w:rsidRPr="005B0C26">
              <w:rPr>
                <w:rFonts w:ascii="Times New Roman" w:hAnsi="Times New Roman" w:cs="Times New Roman"/>
                <w:color w:val="000000"/>
                <w:sz w:val="24"/>
                <w:szCs w:val="24"/>
              </w:rPr>
              <w:t>1.4x</w:t>
            </w:r>
          </w:p>
        </w:tc>
        <w:tc>
          <w:tcPr>
            <w:tcW w:w="0" w:type="auto"/>
          </w:tcPr>
          <w:p w14:paraId="5B5943EE" w14:textId="26E683F7" w:rsidR="005B0C26" w:rsidRPr="005B0C26" w:rsidRDefault="005B0C26" w:rsidP="000035E0">
            <w:pPr>
              <w:jc w:val="center"/>
              <w:rPr>
                <w:rFonts w:ascii="Times New Roman" w:hAnsi="Times New Roman" w:cs="Times New Roman"/>
                <w:color w:val="000000" w:themeColor="text1"/>
                <w:sz w:val="24"/>
                <w:szCs w:val="24"/>
              </w:rPr>
            </w:pPr>
            <w:r w:rsidRPr="005B0C26">
              <w:rPr>
                <w:rFonts w:ascii="Times New Roman" w:hAnsi="Times New Roman" w:cs="Times New Roman"/>
                <w:color w:val="000000"/>
                <w:sz w:val="24"/>
                <w:szCs w:val="24"/>
              </w:rPr>
              <w:t>1.3x</w:t>
            </w:r>
          </w:p>
        </w:tc>
        <w:tc>
          <w:tcPr>
            <w:tcW w:w="0" w:type="auto"/>
          </w:tcPr>
          <w:p w14:paraId="0A8FEE09" w14:textId="7461564C" w:rsidR="005B0C26" w:rsidRPr="005B0C26" w:rsidRDefault="005B0C26" w:rsidP="000035E0">
            <w:pPr>
              <w:jc w:val="center"/>
              <w:rPr>
                <w:rFonts w:ascii="Times New Roman" w:hAnsi="Times New Roman" w:cs="Times New Roman"/>
                <w:color w:val="000000" w:themeColor="text1"/>
                <w:sz w:val="24"/>
                <w:szCs w:val="24"/>
              </w:rPr>
            </w:pPr>
            <w:r w:rsidRPr="005B0C26">
              <w:rPr>
                <w:rFonts w:ascii="Times New Roman" w:hAnsi="Times New Roman" w:cs="Times New Roman"/>
                <w:color w:val="000000"/>
                <w:sz w:val="24"/>
                <w:szCs w:val="24"/>
              </w:rPr>
              <w:t>1.1x</w:t>
            </w:r>
          </w:p>
        </w:tc>
      </w:tr>
      <w:tr w:rsidR="005B0C26" w14:paraId="2113392B" w14:textId="77777777" w:rsidTr="000035E0">
        <w:trPr>
          <w:jc w:val="center"/>
        </w:trPr>
        <w:tc>
          <w:tcPr>
            <w:tcW w:w="0" w:type="auto"/>
          </w:tcPr>
          <w:p w14:paraId="6D1C5910" w14:textId="76F12818" w:rsidR="005B0C26" w:rsidRPr="005B0C26" w:rsidRDefault="005B0C26" w:rsidP="005B0C26">
            <w:pPr>
              <w:rPr>
                <w:rFonts w:ascii="Times New Roman" w:hAnsi="Times New Roman" w:cs="Times New Roman"/>
                <w:color w:val="000000" w:themeColor="text1"/>
                <w:sz w:val="24"/>
                <w:szCs w:val="24"/>
              </w:rPr>
            </w:pPr>
            <w:r w:rsidRPr="005B0C26">
              <w:rPr>
                <w:rFonts w:ascii="Times New Roman" w:hAnsi="Times New Roman" w:cs="Times New Roman"/>
                <w:color w:val="000000" w:themeColor="text1"/>
                <w:sz w:val="24"/>
                <w:szCs w:val="24"/>
              </w:rPr>
              <w:t>Long Term Debt/Equity</w:t>
            </w:r>
          </w:p>
        </w:tc>
        <w:tc>
          <w:tcPr>
            <w:tcW w:w="0" w:type="auto"/>
          </w:tcPr>
          <w:p w14:paraId="7391A5CF" w14:textId="50A6BF21" w:rsidR="005B0C26" w:rsidRPr="005B0C26" w:rsidRDefault="005B0C26" w:rsidP="000035E0">
            <w:pPr>
              <w:jc w:val="center"/>
              <w:rPr>
                <w:rFonts w:ascii="Times New Roman" w:hAnsi="Times New Roman" w:cs="Times New Roman"/>
                <w:color w:val="000000" w:themeColor="text1"/>
                <w:sz w:val="24"/>
                <w:szCs w:val="24"/>
              </w:rPr>
            </w:pPr>
            <w:r w:rsidRPr="005B0C26">
              <w:rPr>
                <w:rFonts w:ascii="Times New Roman" w:hAnsi="Times New Roman" w:cs="Times New Roman"/>
                <w:color w:val="000000"/>
                <w:sz w:val="24"/>
                <w:szCs w:val="24"/>
              </w:rPr>
              <w:t>33.9%</w:t>
            </w:r>
          </w:p>
        </w:tc>
        <w:tc>
          <w:tcPr>
            <w:tcW w:w="0" w:type="auto"/>
          </w:tcPr>
          <w:p w14:paraId="3592DEBA" w14:textId="04DC5F5F" w:rsidR="005B0C26" w:rsidRPr="005B0C26" w:rsidRDefault="005B0C26" w:rsidP="000035E0">
            <w:pPr>
              <w:jc w:val="center"/>
              <w:rPr>
                <w:rFonts w:ascii="Times New Roman" w:hAnsi="Times New Roman" w:cs="Times New Roman"/>
                <w:color w:val="000000" w:themeColor="text1"/>
                <w:sz w:val="24"/>
                <w:szCs w:val="24"/>
              </w:rPr>
            </w:pPr>
            <w:r w:rsidRPr="005B0C26">
              <w:rPr>
                <w:rFonts w:ascii="Times New Roman" w:hAnsi="Times New Roman" w:cs="Times New Roman"/>
                <w:color w:val="000000"/>
                <w:sz w:val="24"/>
                <w:szCs w:val="24"/>
              </w:rPr>
              <w:t>28.6%</w:t>
            </w:r>
          </w:p>
        </w:tc>
        <w:tc>
          <w:tcPr>
            <w:tcW w:w="0" w:type="auto"/>
          </w:tcPr>
          <w:p w14:paraId="5E774808" w14:textId="572F0AA0" w:rsidR="005B0C26" w:rsidRPr="005B0C26" w:rsidRDefault="005B0C26" w:rsidP="000035E0">
            <w:pPr>
              <w:jc w:val="center"/>
              <w:rPr>
                <w:rFonts w:ascii="Times New Roman" w:hAnsi="Times New Roman" w:cs="Times New Roman"/>
                <w:color w:val="000000" w:themeColor="text1"/>
                <w:sz w:val="24"/>
                <w:szCs w:val="24"/>
              </w:rPr>
            </w:pPr>
            <w:r w:rsidRPr="005B0C26">
              <w:rPr>
                <w:rFonts w:ascii="Times New Roman" w:hAnsi="Times New Roman" w:cs="Times New Roman"/>
                <w:color w:val="000000"/>
                <w:sz w:val="24"/>
                <w:szCs w:val="24"/>
              </w:rPr>
              <w:t>28.9%</w:t>
            </w:r>
          </w:p>
        </w:tc>
      </w:tr>
      <w:tr w:rsidR="005B0C26" w14:paraId="35C9002C" w14:textId="77777777" w:rsidTr="000035E0">
        <w:trPr>
          <w:jc w:val="center"/>
        </w:trPr>
        <w:tc>
          <w:tcPr>
            <w:tcW w:w="0" w:type="auto"/>
            <w:tcBorders>
              <w:bottom w:val="single" w:sz="4" w:space="0" w:color="auto"/>
            </w:tcBorders>
          </w:tcPr>
          <w:p w14:paraId="7460CBE6" w14:textId="3C57E2B0" w:rsidR="005B0C26" w:rsidRPr="005B0C26" w:rsidRDefault="005B0C26" w:rsidP="005B0C26">
            <w:pPr>
              <w:rPr>
                <w:rFonts w:ascii="Times New Roman" w:hAnsi="Times New Roman" w:cs="Times New Roman"/>
                <w:color w:val="000000" w:themeColor="text1"/>
                <w:sz w:val="24"/>
                <w:szCs w:val="24"/>
              </w:rPr>
            </w:pPr>
            <w:r w:rsidRPr="005B0C26">
              <w:rPr>
                <w:rFonts w:ascii="Times New Roman" w:hAnsi="Times New Roman" w:cs="Times New Roman"/>
                <w:color w:val="000000" w:themeColor="text1"/>
                <w:sz w:val="24"/>
                <w:szCs w:val="24"/>
              </w:rPr>
              <w:t>Cash Coverage</w:t>
            </w:r>
          </w:p>
        </w:tc>
        <w:tc>
          <w:tcPr>
            <w:tcW w:w="0" w:type="auto"/>
            <w:tcBorders>
              <w:bottom w:val="single" w:sz="4" w:space="0" w:color="auto"/>
            </w:tcBorders>
          </w:tcPr>
          <w:p w14:paraId="407B260C" w14:textId="10DBE1F4" w:rsidR="005B0C26" w:rsidRPr="005B0C26" w:rsidRDefault="005B0C26" w:rsidP="000035E0">
            <w:pPr>
              <w:jc w:val="center"/>
              <w:rPr>
                <w:rFonts w:ascii="Times New Roman" w:hAnsi="Times New Roman" w:cs="Times New Roman"/>
                <w:color w:val="000000" w:themeColor="text1"/>
                <w:sz w:val="24"/>
                <w:szCs w:val="24"/>
              </w:rPr>
            </w:pPr>
            <w:r w:rsidRPr="005B0C26">
              <w:rPr>
                <w:rFonts w:ascii="Times New Roman" w:hAnsi="Times New Roman" w:cs="Times New Roman"/>
                <w:color w:val="000000"/>
                <w:sz w:val="24"/>
                <w:szCs w:val="24"/>
              </w:rPr>
              <w:t>2.2x</w:t>
            </w:r>
          </w:p>
        </w:tc>
        <w:tc>
          <w:tcPr>
            <w:tcW w:w="0" w:type="auto"/>
            <w:tcBorders>
              <w:bottom w:val="single" w:sz="4" w:space="0" w:color="auto"/>
            </w:tcBorders>
          </w:tcPr>
          <w:p w14:paraId="4F6F7EFD" w14:textId="5E7806CF" w:rsidR="005B0C26" w:rsidRPr="005B0C26" w:rsidRDefault="005B0C26" w:rsidP="000035E0">
            <w:pPr>
              <w:jc w:val="center"/>
              <w:rPr>
                <w:rFonts w:ascii="Times New Roman" w:hAnsi="Times New Roman" w:cs="Times New Roman"/>
                <w:color w:val="000000" w:themeColor="text1"/>
                <w:sz w:val="24"/>
                <w:szCs w:val="24"/>
              </w:rPr>
            </w:pPr>
            <w:r w:rsidRPr="005B0C26">
              <w:rPr>
                <w:rFonts w:ascii="Times New Roman" w:hAnsi="Times New Roman" w:cs="Times New Roman"/>
                <w:color w:val="000000"/>
                <w:sz w:val="24"/>
                <w:szCs w:val="24"/>
              </w:rPr>
              <w:t>18.4x</w:t>
            </w:r>
          </w:p>
        </w:tc>
        <w:tc>
          <w:tcPr>
            <w:tcW w:w="0" w:type="auto"/>
            <w:tcBorders>
              <w:bottom w:val="single" w:sz="4" w:space="0" w:color="auto"/>
            </w:tcBorders>
          </w:tcPr>
          <w:p w14:paraId="03678795" w14:textId="3DAA23BE" w:rsidR="005B0C26" w:rsidRPr="005B0C26" w:rsidRDefault="005B0C26" w:rsidP="000035E0">
            <w:pPr>
              <w:jc w:val="center"/>
              <w:rPr>
                <w:rFonts w:ascii="Times New Roman" w:hAnsi="Times New Roman" w:cs="Times New Roman"/>
                <w:color w:val="000000" w:themeColor="text1"/>
                <w:sz w:val="24"/>
                <w:szCs w:val="24"/>
              </w:rPr>
            </w:pPr>
            <w:r w:rsidRPr="005B0C26">
              <w:rPr>
                <w:rFonts w:ascii="Times New Roman" w:hAnsi="Times New Roman" w:cs="Times New Roman"/>
                <w:color w:val="000000"/>
                <w:sz w:val="24"/>
                <w:szCs w:val="24"/>
              </w:rPr>
              <w:t>20.7x</w:t>
            </w:r>
          </w:p>
        </w:tc>
      </w:tr>
    </w:tbl>
    <w:p w14:paraId="25AECF50" w14:textId="77777777" w:rsidR="00E80726" w:rsidRDefault="00E80726" w:rsidP="00E80726">
      <w:pPr>
        <w:pStyle w:val="ListParagraph"/>
        <w:tabs>
          <w:tab w:val="left" w:pos="450"/>
        </w:tabs>
        <w:ind w:left="360"/>
        <w:jc w:val="both"/>
        <w:rPr>
          <w:rFonts w:ascii="Times New Roman" w:hAnsi="Times New Roman" w:cs="Times New Roman"/>
          <w:b/>
          <w:bCs/>
          <w:sz w:val="24"/>
          <w:szCs w:val="24"/>
        </w:rPr>
      </w:pPr>
    </w:p>
    <w:p w14:paraId="4A3783CB" w14:textId="77777777" w:rsidR="00E80726" w:rsidRPr="00E80726" w:rsidRDefault="00E80726" w:rsidP="00E80726">
      <w:pPr>
        <w:pStyle w:val="ListParagraph"/>
        <w:numPr>
          <w:ilvl w:val="0"/>
          <w:numId w:val="12"/>
        </w:numPr>
        <w:tabs>
          <w:tab w:val="left" w:pos="450"/>
        </w:tabs>
        <w:ind w:left="360"/>
        <w:jc w:val="both"/>
        <w:rPr>
          <w:rFonts w:ascii="Times New Roman" w:hAnsi="Times New Roman" w:cs="Times New Roman"/>
          <w:b/>
          <w:bCs/>
          <w:sz w:val="24"/>
          <w:szCs w:val="24"/>
        </w:rPr>
      </w:pPr>
      <w:bookmarkStart w:id="5" w:name="_Hlk204778861"/>
      <w:r w:rsidRPr="00E80726">
        <w:rPr>
          <w:rFonts w:ascii="Times New Roman" w:hAnsi="Times New Roman" w:cs="Times New Roman"/>
          <w:b/>
          <w:bCs/>
          <w:sz w:val="24"/>
          <w:szCs w:val="24"/>
        </w:rPr>
        <w:t>Conduct a Dupont analysis. Discuss each of the components and their interpretations.</w:t>
      </w:r>
    </w:p>
    <w:bookmarkEnd w:id="5"/>
    <w:p w14:paraId="393AEDE2" w14:textId="68C7AE42" w:rsidR="000035E0" w:rsidRPr="000035E0" w:rsidRDefault="000035E0" w:rsidP="000035E0">
      <w:pPr>
        <w:tabs>
          <w:tab w:val="left" w:pos="450"/>
        </w:tabs>
        <w:ind w:left="360"/>
        <w:jc w:val="both"/>
        <w:rPr>
          <w:rFonts w:ascii="Times New Roman" w:hAnsi="Times New Roman" w:cs="Times New Roman"/>
          <w:sz w:val="24"/>
          <w:szCs w:val="24"/>
        </w:rPr>
      </w:pPr>
      <w:r w:rsidRPr="000035E0">
        <w:rPr>
          <w:rFonts w:ascii="Times New Roman" w:hAnsi="Times New Roman" w:cs="Times New Roman"/>
          <w:sz w:val="24"/>
          <w:szCs w:val="24"/>
        </w:rPr>
        <w:t>Below I conduct a Dupont Analysis for the fiscal year ending Dec. 31, 2024</w:t>
      </w:r>
      <w:r>
        <w:rPr>
          <w:rFonts w:ascii="Times New Roman" w:hAnsi="Times New Roman" w:cs="Times New Roman"/>
          <w:sz w:val="24"/>
          <w:szCs w:val="24"/>
        </w:rPr>
        <w:t>, using data from S&amp;P NetAdvantage</w:t>
      </w:r>
      <w:r w:rsidRPr="000035E0">
        <w:rPr>
          <w:rFonts w:ascii="Times New Roman" w:hAnsi="Times New Roman" w:cs="Times New Roman"/>
          <w:sz w:val="24"/>
          <w:szCs w:val="24"/>
        </w:rPr>
        <w:t>:</w:t>
      </w:r>
    </w:p>
    <w:p w14:paraId="16A8A53A" w14:textId="77777777" w:rsidR="000035E0" w:rsidRPr="00FE5D05" w:rsidRDefault="000035E0" w:rsidP="000035E0">
      <w:pPr>
        <w:jc w:val="center"/>
        <w:rPr>
          <w:rFonts w:ascii="Times New Roman" w:hAnsi="Times New Roman" w:cs="Times New Roman"/>
          <w:b/>
          <w:sz w:val="24"/>
          <w:szCs w:val="24"/>
        </w:rPr>
      </w:pPr>
      <w:r w:rsidRPr="00FE5D05">
        <w:rPr>
          <w:rFonts w:ascii="Times New Roman" w:hAnsi="Times New Roman" w:cs="Times New Roman"/>
          <w:b/>
          <w:sz w:val="24"/>
          <w:szCs w:val="24"/>
        </w:rPr>
        <w:t>Dupont Analysis</w:t>
      </w:r>
    </w:p>
    <w:p w14:paraId="5ED77012" w14:textId="77777777" w:rsidR="000035E0" w:rsidRPr="000035E0" w:rsidRDefault="000035E0" w:rsidP="000035E0">
      <w:pPr>
        <w:rPr>
          <w:rFonts w:ascii="Times New Roman" w:eastAsiaTheme="minorEastAsia" w:hAnsi="Times New Roman" w:cs="Times New Roman"/>
          <w:noProof/>
        </w:rPr>
      </w:pPr>
      <m:oMathPara>
        <m:oMath>
          <m:r>
            <w:rPr>
              <w:rFonts w:ascii="Cambria Math" w:hAnsi="Cambria Math" w:cs="Times New Roman"/>
            </w:rPr>
            <m:t>ROE=</m:t>
          </m:r>
          <m:f>
            <m:fPr>
              <m:ctrlPr>
                <w:rPr>
                  <w:rFonts w:ascii="Cambria Math" w:eastAsiaTheme="minorEastAsia" w:hAnsi="Cambria Math" w:cs="Times New Roman"/>
                  <w:i/>
                  <w:noProof/>
                </w:rPr>
              </m:ctrlPr>
            </m:fPr>
            <m:num>
              <m:r>
                <w:rPr>
                  <w:rFonts w:ascii="Cambria Math" w:eastAsiaTheme="minorEastAsia" w:hAnsi="Cambria Math" w:cs="Times New Roman"/>
                  <w:noProof/>
                </w:rPr>
                <m:t>Net Income</m:t>
              </m:r>
            </m:num>
            <m:den>
              <m:r>
                <w:rPr>
                  <w:rFonts w:ascii="Cambria Math" w:eastAsiaTheme="minorEastAsia" w:hAnsi="Cambria Math" w:cs="Times New Roman"/>
                  <w:noProof/>
                </w:rPr>
                <m:t>Equity</m:t>
              </m:r>
            </m:den>
          </m:f>
          <m:r>
            <w:rPr>
              <w:rFonts w:ascii="Cambria Math" w:eastAsiaTheme="minorEastAsia" w:hAnsi="Cambria Math" w:cs="Times New Roman"/>
              <w:noProof/>
            </w:rPr>
            <m:t>=</m:t>
          </m:r>
          <m:f>
            <m:fPr>
              <m:ctrlPr>
                <w:rPr>
                  <w:rFonts w:ascii="Cambria Math" w:hAnsi="Cambria Math" w:cs="Times New Roman"/>
                  <w:i/>
                </w:rPr>
              </m:ctrlPr>
            </m:fPr>
            <m:num>
              <m:r>
                <w:rPr>
                  <w:rFonts w:ascii="Cambria Math" w:hAnsi="Cambria Math" w:cs="Times New Roman"/>
                </w:rPr>
                <m:t>Net Income</m:t>
              </m:r>
            </m:num>
            <m:den>
              <m:r>
                <w:rPr>
                  <w:rFonts w:ascii="Cambria Math" w:hAnsi="Cambria Math" w:cs="Times New Roman"/>
                </w:rPr>
                <m:t>Sales</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Sales</m:t>
              </m:r>
            </m:num>
            <m:den>
              <m:r>
                <w:rPr>
                  <w:rFonts w:ascii="Cambria Math" w:hAnsi="Cambria Math" w:cs="Times New Roman"/>
                </w:rPr>
                <m:t>Assets</m:t>
              </m:r>
            </m:den>
          </m:f>
          <m:r>
            <w:rPr>
              <w:rFonts w:ascii="Cambria Math" w:eastAsiaTheme="minorEastAsia" w:hAnsi="Cambria Math" w:cs="Times New Roman"/>
              <w:noProof/>
            </w:rPr>
            <m:t>×</m:t>
          </m:r>
          <m:f>
            <m:fPr>
              <m:ctrlPr>
                <w:rPr>
                  <w:rFonts w:ascii="Cambria Math" w:eastAsiaTheme="minorEastAsia" w:hAnsi="Cambria Math" w:cs="Times New Roman"/>
                  <w:i/>
                  <w:noProof/>
                </w:rPr>
              </m:ctrlPr>
            </m:fPr>
            <m:num>
              <m:r>
                <w:rPr>
                  <w:rFonts w:ascii="Cambria Math" w:eastAsiaTheme="minorEastAsia" w:hAnsi="Cambria Math" w:cs="Times New Roman"/>
                  <w:noProof/>
                </w:rPr>
                <m:t>Assets</m:t>
              </m:r>
            </m:num>
            <m:den>
              <m:r>
                <w:rPr>
                  <w:rFonts w:ascii="Cambria Math" w:eastAsiaTheme="minorEastAsia" w:hAnsi="Cambria Math" w:cs="Times New Roman"/>
                  <w:noProof/>
                </w:rPr>
                <m:t>Equity</m:t>
              </m:r>
            </m:den>
          </m:f>
          <m:r>
            <w:rPr>
              <w:rFonts w:ascii="Cambria Math" w:eastAsiaTheme="minorEastAsia" w:hAnsi="Cambria Math" w:cs="Times New Roman"/>
              <w:noProof/>
            </w:rPr>
            <m:t>=ROE</m:t>
          </m:r>
        </m:oMath>
      </m:oMathPara>
    </w:p>
    <w:p w14:paraId="1C197C7F" w14:textId="77777777" w:rsidR="000035E0" w:rsidRPr="00FE5D05" w:rsidRDefault="000035E0" w:rsidP="000035E0">
      <w:pPr>
        <w:rPr>
          <w:rFonts w:ascii="Times New Roman" w:eastAsiaTheme="minorEastAsia" w:hAnsi="Times New Roman" w:cs="Times New Roman"/>
          <w:noProof/>
        </w:rPr>
      </w:pPr>
    </w:p>
    <w:p w14:paraId="09F33FC1" w14:textId="5FDCFAB0" w:rsidR="000035E0" w:rsidRPr="000035E0" w:rsidRDefault="000035E0" w:rsidP="000035E0">
      <w:pPr>
        <w:rPr>
          <w:rFonts w:ascii="Times New Roman" w:eastAsiaTheme="minorEastAsia" w:hAnsi="Times New Roman" w:cs="Times New Roman"/>
          <w:noProof/>
        </w:rPr>
      </w:pPr>
      <m:oMathPara>
        <m:oMath>
          <m:r>
            <w:rPr>
              <w:rFonts w:ascii="Cambria Math" w:hAnsi="Cambria Math" w:cs="Times New Roman"/>
            </w:rPr>
            <m:t>ROE=</m:t>
          </m:r>
          <m:f>
            <m:fPr>
              <m:ctrlPr>
                <w:rPr>
                  <w:rFonts w:ascii="Cambria Math" w:eastAsiaTheme="minorEastAsia" w:hAnsi="Cambria Math" w:cs="Times New Roman"/>
                  <w:i/>
                  <w:noProof/>
                </w:rPr>
              </m:ctrlPr>
            </m:fPr>
            <m:num>
              <m:r>
                <w:rPr>
                  <w:rFonts w:ascii="Cambria Math" w:eastAsiaTheme="minorEastAsia" w:hAnsi="Cambria Math" w:cs="Times New Roman"/>
                  <w:noProof/>
                </w:rPr>
                <m:t>2,747</m:t>
              </m:r>
            </m:num>
            <m:den>
              <m:r>
                <w:rPr>
                  <w:rFonts w:ascii="Cambria Math" w:eastAsiaTheme="minorEastAsia" w:hAnsi="Cambria Math" w:cs="Times New Roman"/>
                  <w:noProof/>
                </w:rPr>
                <m:t>17,469.0</m:t>
              </m:r>
            </m:den>
          </m:f>
          <m:r>
            <w:rPr>
              <w:rFonts w:ascii="Cambria Math" w:eastAsiaTheme="minorEastAsia" w:hAnsi="Cambria Math" w:cs="Times New Roman"/>
              <w:noProof/>
            </w:rPr>
            <m:t>=</m:t>
          </m:r>
          <m:f>
            <m:fPr>
              <m:ctrlPr>
                <w:rPr>
                  <w:rFonts w:ascii="Cambria Math" w:hAnsi="Cambria Math" w:cs="Times New Roman"/>
                  <w:i/>
                </w:rPr>
              </m:ctrlPr>
            </m:fPr>
            <m:num>
              <m:r>
                <w:rPr>
                  <w:rFonts w:ascii="Cambria Math" w:hAnsi="Cambria Math" w:cs="Times New Roman"/>
                </w:rPr>
                <m:t>2,747</m:t>
              </m:r>
            </m:num>
            <m:den>
              <m:r>
                <w:rPr>
                  <w:rFonts w:ascii="Cambria Math" w:hAnsi="Cambria Math" w:cs="Times New Roman"/>
                </w:rPr>
                <m:t>16,620.8</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16,620.8</m:t>
              </m:r>
            </m:num>
            <m:den>
              <m:r>
                <w:rPr>
                  <w:rFonts w:ascii="Cambria Math" w:hAnsi="Cambria Math" w:cs="Times New Roman"/>
                </w:rPr>
                <m:t>61,898</m:t>
              </m:r>
            </m:den>
          </m:f>
          <m:r>
            <w:rPr>
              <w:rFonts w:ascii="Cambria Math" w:eastAsiaTheme="minorEastAsia" w:hAnsi="Cambria Math" w:cs="Times New Roman"/>
              <w:noProof/>
            </w:rPr>
            <m:t>×</m:t>
          </m:r>
          <m:f>
            <m:fPr>
              <m:ctrlPr>
                <w:rPr>
                  <w:rFonts w:ascii="Cambria Math" w:eastAsiaTheme="minorEastAsia" w:hAnsi="Cambria Math" w:cs="Times New Roman"/>
                  <w:i/>
                  <w:noProof/>
                </w:rPr>
              </m:ctrlPr>
            </m:fPr>
            <m:num>
              <m:r>
                <w:rPr>
                  <w:rFonts w:ascii="Cambria Math" w:eastAsiaTheme="minorEastAsia" w:hAnsi="Cambria Math" w:cs="Times New Roman"/>
                  <w:noProof/>
                </w:rPr>
                <m:t>61,898</m:t>
              </m:r>
            </m:num>
            <m:den>
              <m:r>
                <w:rPr>
                  <w:rFonts w:ascii="Cambria Math" w:eastAsiaTheme="minorEastAsia" w:hAnsi="Cambria Math" w:cs="Times New Roman"/>
                  <w:noProof/>
                </w:rPr>
                <m:t>17,469.0</m:t>
              </m:r>
            </m:den>
          </m:f>
          <m:r>
            <w:rPr>
              <w:rFonts w:ascii="Cambria Math" w:eastAsiaTheme="minorEastAsia" w:hAnsi="Cambria Math" w:cs="Times New Roman"/>
              <w:noProof/>
            </w:rPr>
            <m:t>=</m:t>
          </m:r>
          <m:r>
            <w:rPr>
              <w:rFonts w:ascii="Cambria Math" w:eastAsiaTheme="minorEastAsia" w:hAnsi="Cambria Math" w:cs="Times New Roman"/>
              <w:noProof/>
            </w:rPr>
            <m:t>15.7</m:t>
          </m:r>
          <m:r>
            <w:rPr>
              <w:rFonts w:ascii="Cambria Math" w:eastAsiaTheme="minorEastAsia" w:hAnsi="Cambria Math" w:cs="Times New Roman"/>
              <w:noProof/>
            </w:rPr>
            <m:t>%</m:t>
          </m:r>
        </m:oMath>
      </m:oMathPara>
    </w:p>
    <w:p w14:paraId="12AD84AC" w14:textId="77777777" w:rsidR="000035E0" w:rsidRPr="00FE5D05" w:rsidRDefault="000035E0" w:rsidP="000035E0">
      <w:pPr>
        <w:rPr>
          <w:rFonts w:ascii="Times New Roman" w:eastAsiaTheme="minorEastAsia" w:hAnsi="Times New Roman" w:cs="Times New Roman"/>
          <w:noProof/>
        </w:rPr>
      </w:pPr>
    </w:p>
    <w:p w14:paraId="53E18117" w14:textId="7A63C080" w:rsidR="000035E0" w:rsidRPr="00FE5D05" w:rsidRDefault="000035E0" w:rsidP="000035E0">
      <w:pPr>
        <w:rPr>
          <w:rFonts w:ascii="Times New Roman" w:eastAsiaTheme="minorEastAsia" w:hAnsi="Times New Roman" w:cs="Times New Roman"/>
          <w:noProof/>
        </w:rPr>
      </w:pPr>
      <m:oMathPara>
        <m:oMath>
          <m:r>
            <w:rPr>
              <w:rFonts w:ascii="Cambria Math" w:hAnsi="Cambria Math" w:cs="Times New Roman"/>
            </w:rPr>
            <m:t>ROE=</m:t>
          </m:r>
          <m:r>
            <w:rPr>
              <w:rFonts w:ascii="Cambria Math" w:eastAsiaTheme="minorEastAsia" w:hAnsi="Cambria Math" w:cs="Times New Roman"/>
              <w:noProof/>
            </w:rPr>
            <m:t>0.</m:t>
          </m:r>
          <m:r>
            <w:rPr>
              <w:rFonts w:ascii="Cambria Math" w:eastAsiaTheme="minorEastAsia" w:hAnsi="Cambria Math" w:cs="Times New Roman"/>
              <w:noProof/>
            </w:rPr>
            <m:t>157</m:t>
          </m:r>
          <m:r>
            <w:rPr>
              <w:rFonts w:ascii="Cambria Math" w:eastAsiaTheme="minorEastAsia" w:hAnsi="Cambria Math" w:cs="Times New Roman"/>
              <w:noProof/>
            </w:rPr>
            <m:t>=</m:t>
          </m:r>
          <m:r>
            <w:rPr>
              <w:rFonts w:ascii="Cambria Math" w:hAnsi="Cambria Math" w:cs="Times New Roman"/>
            </w:rPr>
            <m:t>0.16</m:t>
          </m:r>
          <m:r>
            <w:rPr>
              <w:rFonts w:ascii="Cambria Math" w:hAnsi="Cambria Math" w:cs="Times New Roman"/>
            </w:rPr>
            <m:t>53</m:t>
          </m:r>
          <m:r>
            <w:rPr>
              <w:rFonts w:ascii="Cambria Math" w:hAnsi="Cambria Math" w:cs="Times New Roman"/>
            </w:rPr>
            <m:t>×</m:t>
          </m:r>
          <m:r>
            <w:rPr>
              <w:rFonts w:ascii="Cambria Math" w:hAnsi="Cambria Math" w:cs="Times New Roman"/>
            </w:rPr>
            <m:t>0.2685</m:t>
          </m:r>
          <m:r>
            <w:rPr>
              <w:rFonts w:ascii="Cambria Math" w:eastAsiaTheme="minorEastAsia" w:hAnsi="Cambria Math" w:cs="Times New Roman"/>
              <w:noProof/>
            </w:rPr>
            <m:t>×</m:t>
          </m:r>
          <m:r>
            <w:rPr>
              <w:rFonts w:ascii="Cambria Math" w:eastAsiaTheme="minorEastAsia" w:hAnsi="Cambria Math" w:cs="Times New Roman"/>
              <w:noProof/>
            </w:rPr>
            <m:t>3.543</m:t>
          </m:r>
          <m:r>
            <w:rPr>
              <w:rFonts w:ascii="Cambria Math" w:eastAsiaTheme="minorEastAsia" w:hAnsi="Cambria Math" w:cs="Times New Roman"/>
              <w:noProof/>
            </w:rPr>
            <m:t>=</m:t>
          </m:r>
          <m:r>
            <w:rPr>
              <w:rFonts w:ascii="Cambria Math" w:eastAsiaTheme="minorEastAsia" w:hAnsi="Cambria Math" w:cs="Times New Roman"/>
              <w:noProof/>
            </w:rPr>
            <m:t>15.7</m:t>
          </m:r>
          <m:r>
            <w:rPr>
              <w:rFonts w:ascii="Cambria Math" w:eastAsiaTheme="minorEastAsia" w:hAnsi="Cambria Math" w:cs="Times New Roman"/>
              <w:noProof/>
            </w:rPr>
            <m:t>%</m:t>
          </m:r>
        </m:oMath>
      </m:oMathPara>
    </w:p>
    <w:p w14:paraId="0D222F1E" w14:textId="77777777" w:rsidR="000035E0" w:rsidRPr="00FE5D05" w:rsidRDefault="000035E0" w:rsidP="000035E0">
      <w:pPr>
        <w:pStyle w:val="ListParagraph"/>
        <w:ind w:left="0"/>
        <w:rPr>
          <w:rFonts w:ascii="Times New Roman" w:hAnsi="Times New Roman" w:cs="Times New Roman"/>
          <w:bCs/>
          <w:strike/>
          <w:sz w:val="24"/>
          <w:szCs w:val="24"/>
        </w:rPr>
      </w:pPr>
    </w:p>
    <w:p w14:paraId="5DEFF502" w14:textId="1B642985" w:rsidR="009B75C8" w:rsidRDefault="009B75C8" w:rsidP="009B75C8">
      <w:pPr>
        <w:tabs>
          <w:tab w:val="left" w:pos="450"/>
        </w:tabs>
        <w:ind w:left="450"/>
        <w:jc w:val="both"/>
        <w:rPr>
          <w:rFonts w:ascii="Times New Roman" w:hAnsi="Times New Roman" w:cs="Times New Roman"/>
          <w:sz w:val="24"/>
          <w:szCs w:val="24"/>
        </w:rPr>
      </w:pPr>
      <w:r>
        <w:rPr>
          <w:rFonts w:ascii="Times New Roman" w:hAnsi="Times New Roman" w:cs="Times New Roman"/>
          <w:sz w:val="24"/>
          <w:szCs w:val="24"/>
        </w:rPr>
        <w:t>S&amp;P differs slightly in how it defines its ratios, which is why my numbers</w:t>
      </w:r>
      <w:r w:rsidR="00C73689">
        <w:rPr>
          <w:rFonts w:ascii="Times New Roman" w:hAnsi="Times New Roman" w:cs="Times New Roman"/>
          <w:sz w:val="24"/>
          <w:szCs w:val="24"/>
        </w:rPr>
        <w:t xml:space="preserve"> above</w:t>
      </w:r>
      <w:r>
        <w:rPr>
          <w:rFonts w:ascii="Times New Roman" w:hAnsi="Times New Roman" w:cs="Times New Roman"/>
          <w:sz w:val="24"/>
          <w:szCs w:val="24"/>
        </w:rPr>
        <w:t xml:space="preserve"> are slightly different than theirs. Nevertheless, the interpretation is the same: ROE for Markel is healthy, largely driven by strong margins and turnover, and an adequate level of leverage</w:t>
      </w:r>
      <w:r w:rsidR="00C73689">
        <w:rPr>
          <w:rFonts w:ascii="Times New Roman" w:hAnsi="Times New Roman" w:cs="Times New Roman"/>
          <w:sz w:val="24"/>
          <w:szCs w:val="24"/>
        </w:rPr>
        <w:t xml:space="preserve"> </w:t>
      </w:r>
      <w:r>
        <w:rPr>
          <w:rFonts w:ascii="Times New Roman" w:hAnsi="Times New Roman" w:cs="Times New Roman"/>
          <w:sz w:val="24"/>
          <w:szCs w:val="24"/>
        </w:rPr>
        <w:t>(given Markel’s healthy cash coverage ratio)...</w:t>
      </w:r>
    </w:p>
    <w:p w14:paraId="17CFCC19" w14:textId="77777777" w:rsidR="009B75C8" w:rsidRDefault="009B75C8" w:rsidP="009B75C8">
      <w:pPr>
        <w:tabs>
          <w:tab w:val="left" w:pos="450"/>
        </w:tabs>
        <w:ind w:left="450"/>
        <w:jc w:val="both"/>
        <w:rPr>
          <w:rFonts w:ascii="Times New Roman" w:hAnsi="Times New Roman" w:cs="Times New Roman"/>
          <w:sz w:val="24"/>
          <w:szCs w:val="24"/>
        </w:rPr>
      </w:pPr>
    </w:p>
    <w:p w14:paraId="0BA8FA1B" w14:textId="77777777" w:rsidR="005F59F4" w:rsidRPr="000500B5" w:rsidRDefault="005F59F4" w:rsidP="005F59F4">
      <w:pPr>
        <w:pStyle w:val="Heading1"/>
        <w:spacing w:after="90"/>
        <w:rPr>
          <w:color w:val="6F7479"/>
          <w:sz w:val="28"/>
          <w:szCs w:val="28"/>
        </w:rPr>
      </w:pPr>
      <w:r>
        <w:rPr>
          <w:color w:val="6F7479"/>
          <w:sz w:val="28"/>
          <w:szCs w:val="28"/>
        </w:rPr>
        <w:t>Stock and Markets Research</w:t>
      </w:r>
    </w:p>
    <w:p w14:paraId="53C20A4E" w14:textId="77777777" w:rsidR="00E80726" w:rsidRPr="00E80726" w:rsidRDefault="00E80726" w:rsidP="00E80726">
      <w:pPr>
        <w:pStyle w:val="ListParagraph"/>
        <w:numPr>
          <w:ilvl w:val="0"/>
          <w:numId w:val="12"/>
        </w:numPr>
        <w:ind w:left="270"/>
        <w:jc w:val="both"/>
        <w:rPr>
          <w:rFonts w:ascii="Times New Roman" w:hAnsi="Times New Roman" w:cs="Times New Roman"/>
          <w:b/>
          <w:bCs/>
          <w:sz w:val="24"/>
          <w:szCs w:val="24"/>
        </w:rPr>
      </w:pPr>
      <w:bookmarkStart w:id="6" w:name="_Hlk204782235"/>
      <w:r w:rsidRPr="00E80726">
        <w:rPr>
          <w:rFonts w:ascii="Times New Roman" w:hAnsi="Times New Roman" w:cs="Times New Roman"/>
          <w:b/>
          <w:bCs/>
          <w:sz w:val="24"/>
          <w:szCs w:val="24"/>
        </w:rPr>
        <w:t xml:space="preserve">Lookup your stock at Finviz: </w:t>
      </w:r>
      <w:hyperlink r:id="rId11" w:history="1">
        <w:r w:rsidRPr="00E80726">
          <w:rPr>
            <w:rStyle w:val="Hyperlink"/>
            <w:rFonts w:ascii="Times New Roman" w:hAnsi="Times New Roman" w:cs="Times New Roman"/>
            <w:b/>
            <w:bCs/>
            <w:sz w:val="24"/>
            <w:szCs w:val="24"/>
          </w:rPr>
          <w:t>https://finviz.com/quote.ashx?t=VOO&amp;ty=l&amp;ta=0&amp;p=d</w:t>
        </w:r>
      </w:hyperlink>
      <w:r w:rsidRPr="00E80726">
        <w:rPr>
          <w:rFonts w:ascii="Times New Roman" w:hAnsi="Times New Roman" w:cs="Times New Roman"/>
          <w:b/>
          <w:bCs/>
          <w:sz w:val="24"/>
          <w:szCs w:val="24"/>
        </w:rPr>
        <w:t xml:space="preserve">. Take a screenshot of the stock price chart from that page (please do this within about a week from when you turn your project in so that the figure is up to date). Does your firm’s stock price movement appear to be supported by the ratio analysis you’ve done? </w:t>
      </w:r>
    </w:p>
    <w:bookmarkEnd w:id="6"/>
    <w:p w14:paraId="7C440C63" w14:textId="61BE4856" w:rsidR="00670F02" w:rsidRPr="00670F02" w:rsidRDefault="00670F02" w:rsidP="00670F02">
      <w:pPr>
        <w:ind w:left="-90"/>
        <w:jc w:val="both"/>
        <w:rPr>
          <w:rFonts w:ascii="Times New Roman" w:hAnsi="Times New Roman" w:cs="Times New Roman"/>
          <w:b/>
          <w:bCs/>
          <w:sz w:val="24"/>
          <w:szCs w:val="24"/>
        </w:rPr>
      </w:pPr>
      <w:r w:rsidRPr="00670F02">
        <w:lastRenderedPageBreak/>
        <w:drawing>
          <wp:inline distT="0" distB="0" distL="0" distR="0" wp14:anchorId="7F388D9F" wp14:editId="14320B74">
            <wp:extent cx="5943600" cy="2249170"/>
            <wp:effectExtent l="0" t="0" r="0" b="0"/>
            <wp:docPr id="613704726"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704726" name="Picture 1" descr="A screenshot of a graph&#10;&#10;AI-generated content may be incorrect."/>
                    <pic:cNvPicPr/>
                  </pic:nvPicPr>
                  <pic:blipFill>
                    <a:blip r:embed="rId12"/>
                    <a:stretch>
                      <a:fillRect/>
                    </a:stretch>
                  </pic:blipFill>
                  <pic:spPr>
                    <a:xfrm>
                      <a:off x="0" y="0"/>
                      <a:ext cx="5943600" cy="2249170"/>
                    </a:xfrm>
                    <a:prstGeom prst="rect">
                      <a:avLst/>
                    </a:prstGeom>
                  </pic:spPr>
                </pic:pic>
              </a:graphicData>
            </a:graphic>
          </wp:inline>
        </w:drawing>
      </w:r>
    </w:p>
    <w:p w14:paraId="39D46898" w14:textId="77777777" w:rsidR="005F59F4" w:rsidRDefault="005F59F4" w:rsidP="005F59F4">
      <w:pPr>
        <w:jc w:val="both"/>
        <w:rPr>
          <w:rFonts w:ascii="Times New Roman" w:hAnsi="Times New Roman" w:cs="Times New Roman"/>
          <w:b/>
          <w:bCs/>
          <w:sz w:val="24"/>
          <w:szCs w:val="24"/>
        </w:rPr>
      </w:pPr>
    </w:p>
    <w:p w14:paraId="5F375F6D" w14:textId="0516C80F" w:rsidR="00670F02" w:rsidRPr="00670F02" w:rsidRDefault="00670F02" w:rsidP="00670F02">
      <w:pPr>
        <w:ind w:left="270"/>
        <w:jc w:val="both"/>
        <w:rPr>
          <w:rFonts w:ascii="Times New Roman" w:hAnsi="Times New Roman" w:cs="Times New Roman"/>
          <w:sz w:val="24"/>
          <w:szCs w:val="24"/>
        </w:rPr>
      </w:pPr>
      <w:r w:rsidRPr="00670F02">
        <w:rPr>
          <w:rFonts w:ascii="Times New Roman" w:hAnsi="Times New Roman" w:cs="Times New Roman"/>
          <w:sz w:val="24"/>
          <w:szCs w:val="24"/>
        </w:rPr>
        <w:t xml:space="preserve">Generally, Markel’s stock price has risen over the previous year. This </w:t>
      </w:r>
      <w:r>
        <w:rPr>
          <w:rFonts w:ascii="Times New Roman" w:hAnsi="Times New Roman" w:cs="Times New Roman"/>
          <w:sz w:val="24"/>
          <w:szCs w:val="24"/>
        </w:rPr>
        <w:t xml:space="preserve">appears to be consistent with the improvements in many ratios presented... </w:t>
      </w:r>
    </w:p>
    <w:p w14:paraId="51993425" w14:textId="77777777" w:rsidR="00E80726" w:rsidRPr="00E80726" w:rsidRDefault="00E80726" w:rsidP="00E80726">
      <w:pPr>
        <w:pStyle w:val="ListParagraph"/>
        <w:numPr>
          <w:ilvl w:val="0"/>
          <w:numId w:val="12"/>
        </w:numPr>
        <w:ind w:left="270"/>
        <w:jc w:val="both"/>
        <w:rPr>
          <w:rFonts w:ascii="Times New Roman" w:hAnsi="Times New Roman" w:cs="Times New Roman"/>
          <w:b/>
          <w:bCs/>
          <w:sz w:val="24"/>
          <w:szCs w:val="24"/>
        </w:rPr>
      </w:pPr>
      <w:r w:rsidRPr="00E80726">
        <w:rPr>
          <w:rFonts w:ascii="Times New Roman" w:hAnsi="Times New Roman" w:cs="Times New Roman"/>
          <w:b/>
          <w:bCs/>
          <w:sz w:val="24"/>
          <w:szCs w:val="24"/>
        </w:rPr>
        <w:t>Do you see that your firm’s stock price moved significantly on the date of your earnings call? What might have explained that movement? How does this relate to “market efficiency”?</w:t>
      </w:r>
    </w:p>
    <w:p w14:paraId="65061B58" w14:textId="43E71DC9" w:rsidR="005F59F4" w:rsidRPr="00670F02" w:rsidRDefault="00670F02" w:rsidP="00670F02">
      <w:pPr>
        <w:ind w:left="270"/>
        <w:jc w:val="both"/>
        <w:rPr>
          <w:rFonts w:ascii="Times New Roman" w:hAnsi="Times New Roman" w:cs="Times New Roman"/>
          <w:sz w:val="24"/>
          <w:szCs w:val="24"/>
        </w:rPr>
      </w:pPr>
      <w:r w:rsidRPr="00670F02">
        <w:rPr>
          <w:rFonts w:ascii="Times New Roman" w:hAnsi="Times New Roman" w:cs="Times New Roman"/>
          <w:sz w:val="24"/>
          <w:szCs w:val="24"/>
        </w:rPr>
        <w:t xml:space="preserve">On the date of the most recent earnings call, the stock price appears to have risen </w:t>
      </w:r>
      <w:r>
        <w:rPr>
          <w:rFonts w:ascii="Times New Roman" w:hAnsi="Times New Roman" w:cs="Times New Roman"/>
          <w:sz w:val="24"/>
          <w:szCs w:val="24"/>
        </w:rPr>
        <w:t>somewhat, but not at a magnitude much greater than several other days over the previous year. Market efficiency implies that stock prices...</w:t>
      </w:r>
    </w:p>
    <w:p w14:paraId="5AD61BA2" w14:textId="77777777" w:rsidR="00E80726" w:rsidRPr="00E80726" w:rsidRDefault="00E80726" w:rsidP="00E80726">
      <w:pPr>
        <w:pStyle w:val="ListParagraph"/>
        <w:numPr>
          <w:ilvl w:val="0"/>
          <w:numId w:val="12"/>
        </w:numPr>
        <w:ind w:left="270"/>
        <w:jc w:val="both"/>
        <w:rPr>
          <w:rFonts w:ascii="Times New Roman" w:hAnsi="Times New Roman" w:cs="Times New Roman"/>
          <w:b/>
          <w:bCs/>
          <w:sz w:val="24"/>
          <w:szCs w:val="24"/>
        </w:rPr>
      </w:pPr>
      <w:r w:rsidRPr="00E80726">
        <w:rPr>
          <w:rFonts w:ascii="Times New Roman" w:hAnsi="Times New Roman" w:cs="Times New Roman"/>
          <w:b/>
          <w:bCs/>
          <w:sz w:val="24"/>
          <w:szCs w:val="24"/>
        </w:rPr>
        <w:t>Using the beta of your stock presented on Finviz, calculate your stock’s expected return assuming the expected return of the market is 10% and T-bills yield 4.5%.</w:t>
      </w:r>
    </w:p>
    <w:p w14:paraId="034875F8" w14:textId="5BA80CD1" w:rsidR="005F59F4" w:rsidRDefault="00670F02" w:rsidP="00670F02">
      <w:pPr>
        <w:ind w:left="270"/>
        <w:jc w:val="both"/>
        <w:rPr>
          <w:rFonts w:ascii="Times New Roman" w:hAnsi="Times New Roman" w:cs="Times New Roman"/>
          <w:sz w:val="24"/>
          <w:szCs w:val="24"/>
        </w:rPr>
      </w:pPr>
      <w:r w:rsidRPr="00670F02">
        <w:rPr>
          <w:rFonts w:ascii="Times New Roman" w:hAnsi="Times New Roman" w:cs="Times New Roman"/>
          <w:sz w:val="24"/>
          <w:szCs w:val="24"/>
        </w:rPr>
        <w:t>Markel’s beta (according to Finviz) is 0.82. By the capital asset pricing model:</w:t>
      </w:r>
    </w:p>
    <w:p w14:paraId="05623080" w14:textId="46065B70" w:rsidR="00670F02" w:rsidRPr="00670F02" w:rsidRDefault="00670F02" w:rsidP="00670F02">
      <w:pPr>
        <w:ind w:left="270"/>
        <w:jc w:val="both"/>
        <w:rPr>
          <w:rFonts w:ascii="Times New Roman" w:eastAsiaTheme="minorEastAsia" w:hAnsi="Times New Roman" w:cs="Times New Roman"/>
          <w:sz w:val="24"/>
          <w:szCs w:val="24"/>
        </w:rPr>
      </w:pPr>
      <m:oMathPara>
        <m:oMath>
          <m:r>
            <w:rPr>
              <w:rFonts w:ascii="Cambria Math" w:hAnsi="Cambria Math" w:cs="Times New Roman"/>
              <w:sz w:val="24"/>
              <w:szCs w:val="24"/>
            </w:rPr>
            <m:t>E</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Markel</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f</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Markel</m:t>
              </m:r>
            </m:sub>
          </m:sSub>
          <m:r>
            <w:rPr>
              <w:rFonts w:ascii="Cambria Math" w:hAnsi="Cambria Math" w:cs="Times New Roman"/>
              <w:sz w:val="24"/>
              <w:szCs w:val="24"/>
            </w:rPr>
            <m:t>(E</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M</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f</m:t>
              </m:r>
            </m:sub>
          </m:sSub>
          <m:r>
            <w:rPr>
              <w:rFonts w:ascii="Cambria Math" w:hAnsi="Cambria Math" w:cs="Times New Roman"/>
              <w:sz w:val="24"/>
              <w:szCs w:val="24"/>
            </w:rPr>
            <m:t>)</m:t>
          </m:r>
        </m:oMath>
      </m:oMathPara>
    </w:p>
    <w:p w14:paraId="2C7AB1F0" w14:textId="261215B8" w:rsidR="00670F02" w:rsidRDefault="00670F02" w:rsidP="00670F02">
      <w:pPr>
        <w:ind w:left="270"/>
        <w:jc w:val="both"/>
        <w:rPr>
          <w:rFonts w:ascii="Times New Roman" w:hAnsi="Times New Roman" w:cs="Times New Roman"/>
          <w:sz w:val="24"/>
          <w:szCs w:val="24"/>
        </w:rPr>
      </w:pPr>
      <w:r>
        <w:rPr>
          <w:rFonts w:ascii="Times New Roman" w:hAnsi="Times New Roman" w:cs="Times New Roman"/>
          <w:sz w:val="24"/>
          <w:szCs w:val="24"/>
        </w:rPr>
        <w:t>I plug in the appropriate values and find...</w:t>
      </w:r>
    </w:p>
    <w:p w14:paraId="069229B9" w14:textId="77777777" w:rsidR="00255037" w:rsidRPr="00670F02" w:rsidRDefault="00255037" w:rsidP="00255037">
      <w:pPr>
        <w:ind w:left="270"/>
        <w:jc w:val="both"/>
        <w:rPr>
          <w:rFonts w:ascii="Times New Roman" w:eastAsiaTheme="minorEastAsia" w:hAnsi="Times New Roman" w:cs="Times New Roman"/>
          <w:sz w:val="24"/>
          <w:szCs w:val="24"/>
        </w:rPr>
      </w:pPr>
      <m:oMathPara>
        <m:oMath>
          <m:r>
            <w:rPr>
              <w:rFonts w:ascii="Cambria Math" w:hAnsi="Cambria Math" w:cs="Times New Roman"/>
              <w:sz w:val="24"/>
              <w:szCs w:val="24"/>
            </w:rPr>
            <m:t>E</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Markel</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f</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Markel</m:t>
              </m:r>
            </m:sub>
          </m:sSub>
          <m:r>
            <w:rPr>
              <w:rFonts w:ascii="Cambria Math" w:hAnsi="Cambria Math" w:cs="Times New Roman"/>
              <w:sz w:val="24"/>
              <w:szCs w:val="24"/>
            </w:rPr>
            <m:t>(E</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M</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f</m:t>
              </m:r>
            </m:sub>
          </m:sSub>
          <m:r>
            <w:rPr>
              <w:rFonts w:ascii="Cambria Math" w:hAnsi="Cambria Math" w:cs="Times New Roman"/>
              <w:sz w:val="24"/>
              <w:szCs w:val="24"/>
            </w:rPr>
            <m:t>)</m:t>
          </m:r>
        </m:oMath>
      </m:oMathPara>
    </w:p>
    <w:p w14:paraId="0D53A9F8" w14:textId="77777777" w:rsidR="00E80726" w:rsidRPr="00E80726" w:rsidRDefault="00E80726" w:rsidP="00E80726">
      <w:pPr>
        <w:pStyle w:val="ListParagraph"/>
        <w:numPr>
          <w:ilvl w:val="0"/>
          <w:numId w:val="12"/>
        </w:numPr>
        <w:ind w:left="270"/>
        <w:jc w:val="both"/>
        <w:rPr>
          <w:rFonts w:ascii="Times New Roman" w:hAnsi="Times New Roman" w:cs="Times New Roman"/>
          <w:b/>
          <w:bCs/>
          <w:sz w:val="24"/>
          <w:szCs w:val="24"/>
        </w:rPr>
      </w:pPr>
      <w:r w:rsidRPr="00E80726">
        <w:rPr>
          <w:rFonts w:ascii="Times New Roman" w:hAnsi="Times New Roman" w:cs="Times New Roman"/>
          <w:b/>
          <w:bCs/>
          <w:sz w:val="24"/>
          <w:szCs w:val="24"/>
        </w:rPr>
        <w:t>Interpret your firm’s “Price to Book” or P/B ratio and “Price to Earnings” or P/E ratio as presented on Finviz. Identify two of your firm’s primary competitors by reading the MD&amp;A in the 10-K or by doing your own research. Compare your firm’s P/B and P/E ratio with its competitors’ ratios (as listed on Finviz). By these metrics, which firm appears to be the “better value” and why?</w:t>
      </w:r>
    </w:p>
    <w:p w14:paraId="220BADE9" w14:textId="225A2755" w:rsidR="006E553F" w:rsidRDefault="006E553F" w:rsidP="006E553F">
      <w:pPr>
        <w:ind w:left="270"/>
        <w:jc w:val="both"/>
        <w:rPr>
          <w:rFonts w:ascii="Times New Roman" w:hAnsi="Times New Roman" w:cs="Times New Roman"/>
          <w:sz w:val="24"/>
          <w:szCs w:val="24"/>
        </w:rPr>
      </w:pPr>
      <w:r w:rsidRPr="006E553F">
        <w:rPr>
          <w:rFonts w:ascii="Times New Roman" w:hAnsi="Times New Roman" w:cs="Times New Roman"/>
          <w:sz w:val="24"/>
          <w:szCs w:val="24"/>
        </w:rPr>
        <w:t>In the table below, I summarize the P/B and P/E ratio for Markel and two of its competitors or peers, AIG and Travelers. The P/B ratio  is defined as... while the P/E ratio is defined as... Based on these results, I determine that ... is the best value because...</w:t>
      </w:r>
    </w:p>
    <w:p w14:paraId="5DE73D0F" w14:textId="77777777" w:rsidR="006E553F" w:rsidRPr="006E553F" w:rsidRDefault="006E553F" w:rsidP="006E553F">
      <w:pPr>
        <w:ind w:left="270"/>
        <w:jc w:val="both"/>
        <w:rPr>
          <w:rFonts w:ascii="Times New Roman" w:hAnsi="Times New Roman" w:cs="Times New Roman"/>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
        <w:gridCol w:w="976"/>
        <w:gridCol w:w="756"/>
        <w:gridCol w:w="1203"/>
        <w:gridCol w:w="222"/>
      </w:tblGrid>
      <w:tr w:rsidR="006E553F" w14:paraId="72AF5C62" w14:textId="77777777" w:rsidTr="00866BD7">
        <w:trPr>
          <w:trHeight w:val="332"/>
          <w:jc w:val="center"/>
        </w:trPr>
        <w:tc>
          <w:tcPr>
            <w:tcW w:w="0" w:type="auto"/>
            <w:tcBorders>
              <w:top w:val="single" w:sz="4" w:space="0" w:color="auto"/>
              <w:bottom w:val="single" w:sz="4" w:space="0" w:color="auto"/>
            </w:tcBorders>
          </w:tcPr>
          <w:p w14:paraId="09389DB9" w14:textId="77777777" w:rsidR="006E553F" w:rsidRPr="000035E0" w:rsidRDefault="006E553F" w:rsidP="00C140A3">
            <w:pPr>
              <w:rPr>
                <w:rFonts w:ascii="Times New Roman" w:hAnsi="Times New Roman" w:cs="Times New Roman"/>
                <w:b/>
                <w:bCs/>
                <w:color w:val="000000" w:themeColor="text1"/>
                <w:sz w:val="24"/>
                <w:szCs w:val="24"/>
              </w:rPr>
            </w:pPr>
            <w:r w:rsidRPr="000035E0">
              <w:rPr>
                <w:rFonts w:ascii="Times New Roman" w:hAnsi="Times New Roman" w:cs="Times New Roman"/>
                <w:b/>
                <w:bCs/>
                <w:color w:val="000000" w:themeColor="text1"/>
                <w:sz w:val="24"/>
                <w:szCs w:val="24"/>
              </w:rPr>
              <w:lastRenderedPageBreak/>
              <w:t>Ratio</w:t>
            </w:r>
          </w:p>
        </w:tc>
        <w:tc>
          <w:tcPr>
            <w:tcW w:w="0" w:type="auto"/>
            <w:tcBorders>
              <w:top w:val="single" w:sz="4" w:space="0" w:color="auto"/>
              <w:bottom w:val="single" w:sz="4" w:space="0" w:color="auto"/>
            </w:tcBorders>
          </w:tcPr>
          <w:p w14:paraId="5C077A41" w14:textId="2AF8BCF3" w:rsidR="006E553F" w:rsidRPr="000035E0" w:rsidRDefault="006E553F" w:rsidP="00C140A3">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Markel</w:t>
            </w:r>
          </w:p>
        </w:tc>
        <w:tc>
          <w:tcPr>
            <w:tcW w:w="0" w:type="auto"/>
            <w:tcBorders>
              <w:top w:val="single" w:sz="4" w:space="0" w:color="auto"/>
              <w:bottom w:val="single" w:sz="4" w:space="0" w:color="auto"/>
            </w:tcBorders>
          </w:tcPr>
          <w:p w14:paraId="25E9E45C" w14:textId="49D278F1" w:rsidR="006E553F" w:rsidRPr="000035E0" w:rsidRDefault="006E553F" w:rsidP="00C140A3">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AIG</w:t>
            </w:r>
          </w:p>
        </w:tc>
        <w:tc>
          <w:tcPr>
            <w:tcW w:w="0" w:type="auto"/>
            <w:tcBorders>
              <w:top w:val="single" w:sz="4" w:space="0" w:color="auto"/>
              <w:bottom w:val="single" w:sz="4" w:space="0" w:color="auto"/>
            </w:tcBorders>
          </w:tcPr>
          <w:p w14:paraId="10BF9961" w14:textId="0E769D4E" w:rsidR="006E553F" w:rsidRPr="000035E0" w:rsidRDefault="006E553F" w:rsidP="00C140A3">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Travelers</w:t>
            </w:r>
          </w:p>
        </w:tc>
        <w:tc>
          <w:tcPr>
            <w:tcW w:w="0" w:type="auto"/>
            <w:tcBorders>
              <w:top w:val="single" w:sz="4" w:space="0" w:color="auto"/>
              <w:bottom w:val="single" w:sz="4" w:space="0" w:color="auto"/>
            </w:tcBorders>
          </w:tcPr>
          <w:p w14:paraId="18EA619C" w14:textId="5CDFCCC5" w:rsidR="006E553F" w:rsidRPr="000035E0" w:rsidRDefault="006E553F" w:rsidP="00C140A3">
            <w:pPr>
              <w:jc w:val="center"/>
              <w:rPr>
                <w:rFonts w:ascii="Times New Roman" w:hAnsi="Times New Roman" w:cs="Times New Roman"/>
                <w:b/>
                <w:bCs/>
                <w:color w:val="000000" w:themeColor="text1"/>
                <w:sz w:val="24"/>
                <w:szCs w:val="24"/>
              </w:rPr>
            </w:pPr>
          </w:p>
        </w:tc>
      </w:tr>
      <w:tr w:rsidR="006E553F" w14:paraId="03013128" w14:textId="77777777" w:rsidTr="00866BD7">
        <w:trPr>
          <w:jc w:val="center"/>
        </w:trPr>
        <w:tc>
          <w:tcPr>
            <w:tcW w:w="0" w:type="auto"/>
            <w:tcBorders>
              <w:top w:val="single" w:sz="4" w:space="0" w:color="auto"/>
            </w:tcBorders>
          </w:tcPr>
          <w:p w14:paraId="4C781D14" w14:textId="72E970BC" w:rsidR="006E553F" w:rsidRPr="005B0C26" w:rsidRDefault="006E553F" w:rsidP="00C140A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P/B</w:t>
            </w:r>
          </w:p>
        </w:tc>
        <w:tc>
          <w:tcPr>
            <w:tcW w:w="0" w:type="auto"/>
            <w:tcBorders>
              <w:top w:val="single" w:sz="4" w:space="0" w:color="auto"/>
            </w:tcBorders>
          </w:tcPr>
          <w:p w14:paraId="37005D4F" w14:textId="1F634423" w:rsidR="006E553F" w:rsidRPr="005B0C26" w:rsidRDefault="006E553F" w:rsidP="00C140A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1.53</w:t>
            </w:r>
          </w:p>
        </w:tc>
        <w:tc>
          <w:tcPr>
            <w:tcW w:w="0" w:type="auto"/>
            <w:tcBorders>
              <w:top w:val="single" w:sz="4" w:space="0" w:color="auto"/>
            </w:tcBorders>
          </w:tcPr>
          <w:p w14:paraId="24087FC2" w14:textId="32499DFE" w:rsidR="006E553F" w:rsidRPr="005B0C26" w:rsidRDefault="006E553F" w:rsidP="00C140A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1.08</w:t>
            </w:r>
          </w:p>
        </w:tc>
        <w:tc>
          <w:tcPr>
            <w:tcW w:w="0" w:type="auto"/>
            <w:tcBorders>
              <w:top w:val="single" w:sz="4" w:space="0" w:color="auto"/>
            </w:tcBorders>
          </w:tcPr>
          <w:p w14:paraId="42E5ADCC" w14:textId="2EF00E38" w:rsidR="006E553F" w:rsidRPr="005B0C26" w:rsidRDefault="006E553F" w:rsidP="00C140A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1.97</w:t>
            </w:r>
          </w:p>
        </w:tc>
        <w:tc>
          <w:tcPr>
            <w:tcW w:w="0" w:type="auto"/>
            <w:tcBorders>
              <w:top w:val="single" w:sz="4" w:space="0" w:color="auto"/>
            </w:tcBorders>
          </w:tcPr>
          <w:p w14:paraId="751A0A11" w14:textId="216BE2BA" w:rsidR="006E553F" w:rsidRPr="005B0C26" w:rsidRDefault="006E553F" w:rsidP="00C140A3">
            <w:pPr>
              <w:jc w:val="center"/>
              <w:rPr>
                <w:rFonts w:ascii="Times New Roman" w:hAnsi="Times New Roman" w:cs="Times New Roman"/>
                <w:color w:val="000000" w:themeColor="text1"/>
                <w:sz w:val="24"/>
                <w:szCs w:val="24"/>
              </w:rPr>
            </w:pPr>
          </w:p>
        </w:tc>
      </w:tr>
      <w:tr w:rsidR="006E553F" w14:paraId="5FA9D447" w14:textId="77777777" w:rsidTr="00866BD7">
        <w:trPr>
          <w:jc w:val="center"/>
        </w:trPr>
        <w:tc>
          <w:tcPr>
            <w:tcW w:w="0" w:type="auto"/>
            <w:tcBorders>
              <w:bottom w:val="single" w:sz="4" w:space="0" w:color="auto"/>
            </w:tcBorders>
          </w:tcPr>
          <w:p w14:paraId="5FC76C20" w14:textId="7E683CCA" w:rsidR="006E553F" w:rsidRPr="005B0C26" w:rsidRDefault="006E553F" w:rsidP="00C140A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w:t>
            </w:r>
          </w:p>
        </w:tc>
        <w:tc>
          <w:tcPr>
            <w:tcW w:w="0" w:type="auto"/>
            <w:tcBorders>
              <w:bottom w:val="single" w:sz="4" w:space="0" w:color="auto"/>
            </w:tcBorders>
          </w:tcPr>
          <w:p w14:paraId="008BE1FF" w14:textId="173515E9" w:rsidR="006E553F" w:rsidRPr="005B0C26" w:rsidRDefault="006E553F" w:rsidP="00C140A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14.71</w:t>
            </w:r>
          </w:p>
        </w:tc>
        <w:tc>
          <w:tcPr>
            <w:tcW w:w="0" w:type="auto"/>
            <w:tcBorders>
              <w:bottom w:val="single" w:sz="4" w:space="0" w:color="auto"/>
            </w:tcBorders>
          </w:tcPr>
          <w:p w14:paraId="11699A01" w14:textId="333A5EC0" w:rsidR="006E553F" w:rsidRPr="005B0C26" w:rsidRDefault="006E553F" w:rsidP="00C140A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17.19</w:t>
            </w:r>
          </w:p>
        </w:tc>
        <w:tc>
          <w:tcPr>
            <w:tcW w:w="0" w:type="auto"/>
            <w:tcBorders>
              <w:bottom w:val="single" w:sz="4" w:space="0" w:color="auto"/>
            </w:tcBorders>
          </w:tcPr>
          <w:p w14:paraId="139F6A35" w14:textId="0507ECAE" w:rsidR="006E553F" w:rsidRPr="005B0C26" w:rsidRDefault="006E553F" w:rsidP="00C140A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11.40</w:t>
            </w:r>
          </w:p>
        </w:tc>
        <w:tc>
          <w:tcPr>
            <w:tcW w:w="0" w:type="auto"/>
            <w:tcBorders>
              <w:bottom w:val="single" w:sz="4" w:space="0" w:color="auto"/>
            </w:tcBorders>
          </w:tcPr>
          <w:p w14:paraId="1B45CBD8" w14:textId="004935BE" w:rsidR="006E553F" w:rsidRPr="005B0C26" w:rsidRDefault="006E553F" w:rsidP="00C140A3">
            <w:pPr>
              <w:jc w:val="center"/>
              <w:rPr>
                <w:rFonts w:ascii="Times New Roman" w:hAnsi="Times New Roman" w:cs="Times New Roman"/>
                <w:color w:val="000000" w:themeColor="text1"/>
                <w:sz w:val="24"/>
                <w:szCs w:val="24"/>
              </w:rPr>
            </w:pPr>
          </w:p>
        </w:tc>
      </w:tr>
    </w:tbl>
    <w:p w14:paraId="45669683" w14:textId="77777777" w:rsidR="005F59F4" w:rsidRDefault="005F59F4" w:rsidP="009B75C8">
      <w:pPr>
        <w:tabs>
          <w:tab w:val="left" w:pos="450"/>
        </w:tabs>
        <w:ind w:left="450"/>
        <w:jc w:val="both"/>
        <w:rPr>
          <w:rFonts w:ascii="Times New Roman" w:hAnsi="Times New Roman" w:cs="Times New Roman"/>
          <w:sz w:val="24"/>
          <w:szCs w:val="24"/>
        </w:rPr>
      </w:pPr>
    </w:p>
    <w:p w14:paraId="5C07AA16" w14:textId="77777777" w:rsidR="00E80726" w:rsidRPr="00E80726" w:rsidRDefault="00E80726" w:rsidP="00E80726">
      <w:pPr>
        <w:pStyle w:val="ListParagraph"/>
        <w:numPr>
          <w:ilvl w:val="0"/>
          <w:numId w:val="12"/>
        </w:numPr>
        <w:ind w:left="270"/>
        <w:jc w:val="both"/>
        <w:rPr>
          <w:rFonts w:ascii="Times New Roman" w:hAnsi="Times New Roman" w:cs="Times New Roman"/>
          <w:b/>
          <w:bCs/>
          <w:sz w:val="24"/>
          <w:szCs w:val="24"/>
        </w:rPr>
      </w:pPr>
      <w:bookmarkStart w:id="7" w:name="_Hlk204783172"/>
      <w:r w:rsidRPr="00E80726">
        <w:rPr>
          <w:rFonts w:ascii="Times New Roman" w:hAnsi="Times New Roman" w:cs="Times New Roman"/>
          <w:b/>
          <w:bCs/>
          <w:sz w:val="24"/>
          <w:szCs w:val="24"/>
        </w:rPr>
        <w:t>Make a recommendation on whether an investor should buy your company’s stock and explain why.</w:t>
      </w:r>
    </w:p>
    <w:bookmarkEnd w:id="7"/>
    <w:p w14:paraId="27E3E8E1" w14:textId="27BBD8BF" w:rsidR="006E553F" w:rsidRPr="006E553F" w:rsidRDefault="006E553F" w:rsidP="006E553F">
      <w:pPr>
        <w:ind w:left="270"/>
        <w:rPr>
          <w:rFonts w:ascii="Times New Roman" w:hAnsi="Times New Roman" w:cs="Times New Roman"/>
          <w:color w:val="000000" w:themeColor="text1"/>
          <w:sz w:val="24"/>
          <w:szCs w:val="24"/>
        </w:rPr>
      </w:pPr>
      <w:r w:rsidRPr="006E553F">
        <w:rPr>
          <w:rFonts w:ascii="Times New Roman" w:hAnsi="Times New Roman" w:cs="Times New Roman"/>
          <w:color w:val="000000" w:themeColor="text1"/>
          <w:sz w:val="24"/>
          <w:szCs w:val="24"/>
        </w:rPr>
        <w:t>I believe an investor... Markel stock because...</w:t>
      </w:r>
    </w:p>
    <w:sectPr w:rsidR="006E553F" w:rsidRPr="006E553F" w:rsidSect="00523E3B">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81042" w14:textId="77777777" w:rsidR="00B552E8" w:rsidRDefault="00B552E8" w:rsidP="009569D3">
      <w:pPr>
        <w:spacing w:after="0" w:line="240" w:lineRule="auto"/>
      </w:pPr>
      <w:r>
        <w:separator/>
      </w:r>
    </w:p>
  </w:endnote>
  <w:endnote w:type="continuationSeparator" w:id="0">
    <w:p w14:paraId="57EDE37E" w14:textId="77777777" w:rsidR="00B552E8" w:rsidRDefault="00B552E8" w:rsidP="00956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6069008"/>
      <w:docPartObj>
        <w:docPartGallery w:val="Page Numbers (Bottom of Page)"/>
        <w:docPartUnique/>
      </w:docPartObj>
    </w:sdtPr>
    <w:sdtEndPr>
      <w:rPr>
        <w:rFonts w:ascii="Times New Roman" w:hAnsi="Times New Roman" w:cs="Times New Roman"/>
        <w:noProof/>
      </w:rPr>
    </w:sdtEndPr>
    <w:sdtContent>
      <w:p w14:paraId="5012FC5B" w14:textId="480D9E08" w:rsidR="00523E3B" w:rsidRPr="00523E3B" w:rsidRDefault="00523E3B">
        <w:pPr>
          <w:pStyle w:val="Footer"/>
          <w:jc w:val="center"/>
          <w:rPr>
            <w:rFonts w:ascii="Times New Roman" w:hAnsi="Times New Roman" w:cs="Times New Roman"/>
          </w:rPr>
        </w:pPr>
        <w:r w:rsidRPr="00523E3B">
          <w:rPr>
            <w:rFonts w:ascii="Times New Roman" w:hAnsi="Times New Roman" w:cs="Times New Roman"/>
          </w:rPr>
          <w:fldChar w:fldCharType="begin"/>
        </w:r>
        <w:r w:rsidRPr="00523E3B">
          <w:rPr>
            <w:rFonts w:ascii="Times New Roman" w:hAnsi="Times New Roman" w:cs="Times New Roman"/>
          </w:rPr>
          <w:instrText xml:space="preserve"> PAGE   \* MERGEFORMAT </w:instrText>
        </w:r>
        <w:r w:rsidRPr="00523E3B">
          <w:rPr>
            <w:rFonts w:ascii="Times New Roman" w:hAnsi="Times New Roman" w:cs="Times New Roman"/>
          </w:rPr>
          <w:fldChar w:fldCharType="separate"/>
        </w:r>
        <w:r w:rsidRPr="00523E3B">
          <w:rPr>
            <w:rFonts w:ascii="Times New Roman" w:hAnsi="Times New Roman" w:cs="Times New Roman"/>
            <w:noProof/>
          </w:rPr>
          <w:t>2</w:t>
        </w:r>
        <w:r w:rsidRPr="00523E3B">
          <w:rPr>
            <w:rFonts w:ascii="Times New Roman" w:hAnsi="Times New Roman" w:cs="Times New Roman"/>
            <w:noProof/>
          </w:rPr>
          <w:fldChar w:fldCharType="end"/>
        </w:r>
      </w:p>
    </w:sdtContent>
  </w:sdt>
  <w:p w14:paraId="093352A1" w14:textId="77777777" w:rsidR="00523E3B" w:rsidRDefault="00523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DF4F7" w14:textId="77777777" w:rsidR="00B552E8" w:rsidRDefault="00B552E8" w:rsidP="009569D3">
      <w:pPr>
        <w:spacing w:after="0" w:line="240" w:lineRule="auto"/>
      </w:pPr>
      <w:r>
        <w:separator/>
      </w:r>
    </w:p>
  </w:footnote>
  <w:footnote w:type="continuationSeparator" w:id="0">
    <w:p w14:paraId="2C31D322" w14:textId="77777777" w:rsidR="00B552E8" w:rsidRDefault="00B552E8" w:rsidP="009569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776"/>
    <w:multiLevelType w:val="hybridMultilevel"/>
    <w:tmpl w:val="696CD1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2C2FB5"/>
    <w:multiLevelType w:val="hybridMultilevel"/>
    <w:tmpl w:val="D0828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8345D"/>
    <w:multiLevelType w:val="multilevel"/>
    <w:tmpl w:val="46EAE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323755"/>
    <w:multiLevelType w:val="hybridMultilevel"/>
    <w:tmpl w:val="E10E7F18"/>
    <w:lvl w:ilvl="0" w:tplc="96DAA368">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7A10CB"/>
    <w:multiLevelType w:val="hybridMultilevel"/>
    <w:tmpl w:val="001230B8"/>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827063"/>
    <w:multiLevelType w:val="hybridMultilevel"/>
    <w:tmpl w:val="96C448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9E6E09"/>
    <w:multiLevelType w:val="hybridMultilevel"/>
    <w:tmpl w:val="90BC2514"/>
    <w:lvl w:ilvl="0" w:tplc="91E8F3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5464EF"/>
    <w:multiLevelType w:val="multilevel"/>
    <w:tmpl w:val="DBFA8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350786"/>
    <w:multiLevelType w:val="hybridMultilevel"/>
    <w:tmpl w:val="18560BB0"/>
    <w:lvl w:ilvl="0" w:tplc="0409000F">
      <w:start w:val="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1384D41"/>
    <w:multiLevelType w:val="hybridMultilevel"/>
    <w:tmpl w:val="3AC4C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055CCD"/>
    <w:multiLevelType w:val="hybridMultilevel"/>
    <w:tmpl w:val="544EB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C00070"/>
    <w:multiLevelType w:val="hybridMultilevel"/>
    <w:tmpl w:val="773253DE"/>
    <w:lvl w:ilvl="0" w:tplc="04220B4A">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2F091E"/>
    <w:multiLevelType w:val="hybridMultilevel"/>
    <w:tmpl w:val="EA229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072684"/>
    <w:multiLevelType w:val="hybridMultilevel"/>
    <w:tmpl w:val="F04AEB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7A7A47"/>
    <w:multiLevelType w:val="hybridMultilevel"/>
    <w:tmpl w:val="9B1AC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1425F4"/>
    <w:multiLevelType w:val="hybridMultilevel"/>
    <w:tmpl w:val="E43EB034"/>
    <w:lvl w:ilvl="0" w:tplc="0409000F">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E101992"/>
    <w:multiLevelType w:val="hybridMultilevel"/>
    <w:tmpl w:val="92FC6714"/>
    <w:lvl w:ilvl="0" w:tplc="D354FA4A">
      <w:start w:val="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EFD2057"/>
    <w:multiLevelType w:val="hybridMultilevel"/>
    <w:tmpl w:val="E10E7F18"/>
    <w:lvl w:ilvl="0" w:tplc="96DAA368">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3B76FB"/>
    <w:multiLevelType w:val="hybridMultilevel"/>
    <w:tmpl w:val="9FE21E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195210B"/>
    <w:multiLevelType w:val="hybridMultilevel"/>
    <w:tmpl w:val="EB300D3C"/>
    <w:lvl w:ilvl="0" w:tplc="07603FA4">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0E29DB"/>
    <w:multiLevelType w:val="hybridMultilevel"/>
    <w:tmpl w:val="BD34F73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41132514">
    <w:abstractNumId w:val="1"/>
  </w:num>
  <w:num w:numId="2" w16cid:durableId="1622541127">
    <w:abstractNumId w:val="9"/>
  </w:num>
  <w:num w:numId="3" w16cid:durableId="1661813044">
    <w:abstractNumId w:val="14"/>
  </w:num>
  <w:num w:numId="4" w16cid:durableId="1828470988">
    <w:abstractNumId w:val="5"/>
  </w:num>
  <w:num w:numId="5" w16cid:durableId="1340964757">
    <w:abstractNumId w:val="6"/>
  </w:num>
  <w:num w:numId="6" w16cid:durableId="766971230">
    <w:abstractNumId w:val="19"/>
  </w:num>
  <w:num w:numId="7" w16cid:durableId="1072389053">
    <w:abstractNumId w:val="20"/>
  </w:num>
  <w:num w:numId="8" w16cid:durableId="649867647">
    <w:abstractNumId w:val="4"/>
  </w:num>
  <w:num w:numId="9" w16cid:durableId="1962568460">
    <w:abstractNumId w:val="0"/>
  </w:num>
  <w:num w:numId="10" w16cid:durableId="1304193532">
    <w:abstractNumId w:val="11"/>
  </w:num>
  <w:num w:numId="11" w16cid:durableId="45875811">
    <w:abstractNumId w:val="10"/>
  </w:num>
  <w:num w:numId="12" w16cid:durableId="698048862">
    <w:abstractNumId w:val="3"/>
  </w:num>
  <w:num w:numId="13" w16cid:durableId="446897861">
    <w:abstractNumId w:val="17"/>
  </w:num>
  <w:num w:numId="14" w16cid:durableId="63308334">
    <w:abstractNumId w:val="12"/>
  </w:num>
  <w:num w:numId="15" w16cid:durableId="1302928999">
    <w:abstractNumId w:val="2"/>
  </w:num>
  <w:num w:numId="16" w16cid:durableId="209223122">
    <w:abstractNumId w:val="7"/>
  </w:num>
  <w:num w:numId="17" w16cid:durableId="1145466992">
    <w:abstractNumId w:val="13"/>
  </w:num>
  <w:num w:numId="18" w16cid:durableId="1164319094">
    <w:abstractNumId w:val="18"/>
  </w:num>
  <w:num w:numId="19" w16cid:durableId="1587425085">
    <w:abstractNumId w:val="15"/>
  </w:num>
  <w:num w:numId="20" w16cid:durableId="445396044">
    <w:abstractNumId w:val="8"/>
  </w:num>
  <w:num w:numId="21" w16cid:durableId="15546118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E2D"/>
    <w:rsid w:val="000035E0"/>
    <w:rsid w:val="00012208"/>
    <w:rsid w:val="00013A56"/>
    <w:rsid w:val="00021299"/>
    <w:rsid w:val="000256B0"/>
    <w:rsid w:val="00027FD0"/>
    <w:rsid w:val="00035942"/>
    <w:rsid w:val="00042D71"/>
    <w:rsid w:val="00050A26"/>
    <w:rsid w:val="0005639D"/>
    <w:rsid w:val="00062DCD"/>
    <w:rsid w:val="0007253A"/>
    <w:rsid w:val="000750D7"/>
    <w:rsid w:val="00075BB5"/>
    <w:rsid w:val="00084D79"/>
    <w:rsid w:val="000866CB"/>
    <w:rsid w:val="00094BF2"/>
    <w:rsid w:val="00096CF2"/>
    <w:rsid w:val="000A35D3"/>
    <w:rsid w:val="000B1EBA"/>
    <w:rsid w:val="000C5454"/>
    <w:rsid w:val="000D24B0"/>
    <w:rsid w:val="000D2AEF"/>
    <w:rsid w:val="000D3602"/>
    <w:rsid w:val="000D48FC"/>
    <w:rsid w:val="000D6590"/>
    <w:rsid w:val="000E2CF9"/>
    <w:rsid w:val="000E3F7B"/>
    <w:rsid w:val="000F7ECE"/>
    <w:rsid w:val="00100E2D"/>
    <w:rsid w:val="001031BC"/>
    <w:rsid w:val="001100C4"/>
    <w:rsid w:val="00115948"/>
    <w:rsid w:val="001217C7"/>
    <w:rsid w:val="0012777C"/>
    <w:rsid w:val="0013572C"/>
    <w:rsid w:val="00135FE2"/>
    <w:rsid w:val="00136E53"/>
    <w:rsid w:val="001425D4"/>
    <w:rsid w:val="00151262"/>
    <w:rsid w:val="00152EA0"/>
    <w:rsid w:val="00155C32"/>
    <w:rsid w:val="0016289C"/>
    <w:rsid w:val="00167109"/>
    <w:rsid w:val="00170197"/>
    <w:rsid w:val="00171D2F"/>
    <w:rsid w:val="001804D6"/>
    <w:rsid w:val="00181A75"/>
    <w:rsid w:val="00187385"/>
    <w:rsid w:val="001947E1"/>
    <w:rsid w:val="00194C16"/>
    <w:rsid w:val="001A170F"/>
    <w:rsid w:val="001A540E"/>
    <w:rsid w:val="001A74FB"/>
    <w:rsid w:val="001B0F86"/>
    <w:rsid w:val="001B37DB"/>
    <w:rsid w:val="001B4991"/>
    <w:rsid w:val="001B6460"/>
    <w:rsid w:val="001D50AA"/>
    <w:rsid w:val="001D57C3"/>
    <w:rsid w:val="001E0546"/>
    <w:rsid w:val="001E0BB3"/>
    <w:rsid w:val="001E197B"/>
    <w:rsid w:val="001E4C56"/>
    <w:rsid w:val="001F16A0"/>
    <w:rsid w:val="001F2297"/>
    <w:rsid w:val="001F6AA4"/>
    <w:rsid w:val="001F789B"/>
    <w:rsid w:val="00201BF9"/>
    <w:rsid w:val="00204133"/>
    <w:rsid w:val="00207677"/>
    <w:rsid w:val="00222CD2"/>
    <w:rsid w:val="0022403C"/>
    <w:rsid w:val="00224B2C"/>
    <w:rsid w:val="00231F88"/>
    <w:rsid w:val="0023373B"/>
    <w:rsid w:val="0023634B"/>
    <w:rsid w:val="002414A5"/>
    <w:rsid w:val="00254F30"/>
    <w:rsid w:val="00255037"/>
    <w:rsid w:val="00256FC5"/>
    <w:rsid w:val="0026341C"/>
    <w:rsid w:val="002724DB"/>
    <w:rsid w:val="00282835"/>
    <w:rsid w:val="00284CB4"/>
    <w:rsid w:val="00291488"/>
    <w:rsid w:val="00294CA0"/>
    <w:rsid w:val="002972A6"/>
    <w:rsid w:val="002B0743"/>
    <w:rsid w:val="002B1EA4"/>
    <w:rsid w:val="002B33E3"/>
    <w:rsid w:val="002B33E6"/>
    <w:rsid w:val="002C2611"/>
    <w:rsid w:val="002D1840"/>
    <w:rsid w:val="002D68AC"/>
    <w:rsid w:val="002E4780"/>
    <w:rsid w:val="002E5281"/>
    <w:rsid w:val="002F3681"/>
    <w:rsid w:val="0030031C"/>
    <w:rsid w:val="003011F3"/>
    <w:rsid w:val="00303CAE"/>
    <w:rsid w:val="00303E12"/>
    <w:rsid w:val="00304B7E"/>
    <w:rsid w:val="00307AE6"/>
    <w:rsid w:val="00312684"/>
    <w:rsid w:val="0033570B"/>
    <w:rsid w:val="0033748A"/>
    <w:rsid w:val="00342AA7"/>
    <w:rsid w:val="003442C8"/>
    <w:rsid w:val="00344F54"/>
    <w:rsid w:val="0034762B"/>
    <w:rsid w:val="003656F9"/>
    <w:rsid w:val="00367ABA"/>
    <w:rsid w:val="00370AA0"/>
    <w:rsid w:val="003757DB"/>
    <w:rsid w:val="00385692"/>
    <w:rsid w:val="0039670D"/>
    <w:rsid w:val="003A1787"/>
    <w:rsid w:val="003B566F"/>
    <w:rsid w:val="003B6C1F"/>
    <w:rsid w:val="003C0AB5"/>
    <w:rsid w:val="003D0D14"/>
    <w:rsid w:val="003D0E27"/>
    <w:rsid w:val="003E37D9"/>
    <w:rsid w:val="003F1D04"/>
    <w:rsid w:val="003F25DB"/>
    <w:rsid w:val="003F6497"/>
    <w:rsid w:val="003F7C48"/>
    <w:rsid w:val="00400DB5"/>
    <w:rsid w:val="00402E51"/>
    <w:rsid w:val="00404E80"/>
    <w:rsid w:val="00410D35"/>
    <w:rsid w:val="00413138"/>
    <w:rsid w:val="004244DC"/>
    <w:rsid w:val="00427ADB"/>
    <w:rsid w:val="00432F14"/>
    <w:rsid w:val="00434C7D"/>
    <w:rsid w:val="004373BF"/>
    <w:rsid w:val="00442695"/>
    <w:rsid w:val="00450296"/>
    <w:rsid w:val="00451DCF"/>
    <w:rsid w:val="004544C7"/>
    <w:rsid w:val="00457546"/>
    <w:rsid w:val="004730B2"/>
    <w:rsid w:val="004759F9"/>
    <w:rsid w:val="00485283"/>
    <w:rsid w:val="00490E35"/>
    <w:rsid w:val="00494A4E"/>
    <w:rsid w:val="0049645C"/>
    <w:rsid w:val="00497FBD"/>
    <w:rsid w:val="004A660D"/>
    <w:rsid w:val="004B46CD"/>
    <w:rsid w:val="004B690D"/>
    <w:rsid w:val="004B6E9B"/>
    <w:rsid w:val="004D0FA6"/>
    <w:rsid w:val="004D2CDB"/>
    <w:rsid w:val="004F28CA"/>
    <w:rsid w:val="004F2DC9"/>
    <w:rsid w:val="004F4DC4"/>
    <w:rsid w:val="004F79E8"/>
    <w:rsid w:val="004F7D74"/>
    <w:rsid w:val="00515210"/>
    <w:rsid w:val="0051569D"/>
    <w:rsid w:val="00521F1E"/>
    <w:rsid w:val="00523E3B"/>
    <w:rsid w:val="00525F31"/>
    <w:rsid w:val="00531ECC"/>
    <w:rsid w:val="0054503F"/>
    <w:rsid w:val="00545D64"/>
    <w:rsid w:val="0054604C"/>
    <w:rsid w:val="005534E6"/>
    <w:rsid w:val="00555E26"/>
    <w:rsid w:val="005578BF"/>
    <w:rsid w:val="00562834"/>
    <w:rsid w:val="00567D1A"/>
    <w:rsid w:val="00574D8E"/>
    <w:rsid w:val="00586BB9"/>
    <w:rsid w:val="00597D5F"/>
    <w:rsid w:val="005A1138"/>
    <w:rsid w:val="005A1346"/>
    <w:rsid w:val="005A6B2B"/>
    <w:rsid w:val="005B0C26"/>
    <w:rsid w:val="005B59CD"/>
    <w:rsid w:val="005C7115"/>
    <w:rsid w:val="005C7159"/>
    <w:rsid w:val="005D64E9"/>
    <w:rsid w:val="005E090C"/>
    <w:rsid w:val="005E1BCB"/>
    <w:rsid w:val="005E39D9"/>
    <w:rsid w:val="005F59F4"/>
    <w:rsid w:val="005F5B78"/>
    <w:rsid w:val="00611EA5"/>
    <w:rsid w:val="006139A5"/>
    <w:rsid w:val="006229CE"/>
    <w:rsid w:val="00623C20"/>
    <w:rsid w:val="00626BE4"/>
    <w:rsid w:val="00627904"/>
    <w:rsid w:val="00633B70"/>
    <w:rsid w:val="00640F32"/>
    <w:rsid w:val="00660838"/>
    <w:rsid w:val="00661589"/>
    <w:rsid w:val="00664A66"/>
    <w:rsid w:val="00665A6B"/>
    <w:rsid w:val="00670F02"/>
    <w:rsid w:val="00683E30"/>
    <w:rsid w:val="00683ECE"/>
    <w:rsid w:val="006872E9"/>
    <w:rsid w:val="006A1BD0"/>
    <w:rsid w:val="006A4638"/>
    <w:rsid w:val="006D47E1"/>
    <w:rsid w:val="006D746D"/>
    <w:rsid w:val="006E380F"/>
    <w:rsid w:val="006E505D"/>
    <w:rsid w:val="006E553F"/>
    <w:rsid w:val="006E615F"/>
    <w:rsid w:val="006F6F74"/>
    <w:rsid w:val="00703550"/>
    <w:rsid w:val="007049AD"/>
    <w:rsid w:val="00713714"/>
    <w:rsid w:val="00715727"/>
    <w:rsid w:val="00715F28"/>
    <w:rsid w:val="00716FC5"/>
    <w:rsid w:val="0071777D"/>
    <w:rsid w:val="007237FE"/>
    <w:rsid w:val="0073184A"/>
    <w:rsid w:val="00732949"/>
    <w:rsid w:val="0073567F"/>
    <w:rsid w:val="00741655"/>
    <w:rsid w:val="007524DA"/>
    <w:rsid w:val="00754BBB"/>
    <w:rsid w:val="00755026"/>
    <w:rsid w:val="00771440"/>
    <w:rsid w:val="00782F1E"/>
    <w:rsid w:val="00783E63"/>
    <w:rsid w:val="00783F87"/>
    <w:rsid w:val="00784424"/>
    <w:rsid w:val="00786263"/>
    <w:rsid w:val="007907CB"/>
    <w:rsid w:val="00792701"/>
    <w:rsid w:val="00793D2B"/>
    <w:rsid w:val="007A3B9F"/>
    <w:rsid w:val="007A6CAA"/>
    <w:rsid w:val="007B7EB3"/>
    <w:rsid w:val="007C48FB"/>
    <w:rsid w:val="007C5C9C"/>
    <w:rsid w:val="007C60C1"/>
    <w:rsid w:val="007D099B"/>
    <w:rsid w:val="007D2747"/>
    <w:rsid w:val="007E55CC"/>
    <w:rsid w:val="007E61EA"/>
    <w:rsid w:val="007F0CFE"/>
    <w:rsid w:val="007F32F7"/>
    <w:rsid w:val="00803623"/>
    <w:rsid w:val="00804102"/>
    <w:rsid w:val="00806B23"/>
    <w:rsid w:val="0081654F"/>
    <w:rsid w:val="00816A84"/>
    <w:rsid w:val="00823F93"/>
    <w:rsid w:val="008270F1"/>
    <w:rsid w:val="00840EBE"/>
    <w:rsid w:val="00841C11"/>
    <w:rsid w:val="00845C77"/>
    <w:rsid w:val="008538CB"/>
    <w:rsid w:val="00855315"/>
    <w:rsid w:val="00856950"/>
    <w:rsid w:val="008606DA"/>
    <w:rsid w:val="00860F60"/>
    <w:rsid w:val="00861B85"/>
    <w:rsid w:val="00864F47"/>
    <w:rsid w:val="00866272"/>
    <w:rsid w:val="00870F61"/>
    <w:rsid w:val="00871FAB"/>
    <w:rsid w:val="0087359F"/>
    <w:rsid w:val="00880114"/>
    <w:rsid w:val="008930DA"/>
    <w:rsid w:val="00893744"/>
    <w:rsid w:val="00896BAA"/>
    <w:rsid w:val="008A278A"/>
    <w:rsid w:val="008A485A"/>
    <w:rsid w:val="008A790D"/>
    <w:rsid w:val="008B33BF"/>
    <w:rsid w:val="008B3757"/>
    <w:rsid w:val="008B5223"/>
    <w:rsid w:val="008C2C35"/>
    <w:rsid w:val="008C7550"/>
    <w:rsid w:val="008D5295"/>
    <w:rsid w:val="008D54CB"/>
    <w:rsid w:val="008E2569"/>
    <w:rsid w:val="008E4012"/>
    <w:rsid w:val="008E4403"/>
    <w:rsid w:val="008E6815"/>
    <w:rsid w:val="008F4591"/>
    <w:rsid w:val="008F5E5C"/>
    <w:rsid w:val="008F6CCD"/>
    <w:rsid w:val="008F731E"/>
    <w:rsid w:val="00905671"/>
    <w:rsid w:val="00911767"/>
    <w:rsid w:val="00913E3F"/>
    <w:rsid w:val="00925D9A"/>
    <w:rsid w:val="009266DD"/>
    <w:rsid w:val="00927A70"/>
    <w:rsid w:val="00927A8D"/>
    <w:rsid w:val="00927E8C"/>
    <w:rsid w:val="009302D7"/>
    <w:rsid w:val="009308E9"/>
    <w:rsid w:val="00932F56"/>
    <w:rsid w:val="00940578"/>
    <w:rsid w:val="00943D59"/>
    <w:rsid w:val="009472FE"/>
    <w:rsid w:val="00951247"/>
    <w:rsid w:val="009541FD"/>
    <w:rsid w:val="00954718"/>
    <w:rsid w:val="009569D3"/>
    <w:rsid w:val="00957FF9"/>
    <w:rsid w:val="009621AA"/>
    <w:rsid w:val="009645C9"/>
    <w:rsid w:val="00965E59"/>
    <w:rsid w:val="00980246"/>
    <w:rsid w:val="00984CD7"/>
    <w:rsid w:val="009921EE"/>
    <w:rsid w:val="009A6B1C"/>
    <w:rsid w:val="009B11CB"/>
    <w:rsid w:val="009B2E66"/>
    <w:rsid w:val="009B75C8"/>
    <w:rsid w:val="009E22A5"/>
    <w:rsid w:val="009E2B33"/>
    <w:rsid w:val="009E4423"/>
    <w:rsid w:val="009F1431"/>
    <w:rsid w:val="009F7906"/>
    <w:rsid w:val="00A06C7C"/>
    <w:rsid w:val="00A11625"/>
    <w:rsid w:val="00A21974"/>
    <w:rsid w:val="00A23F2B"/>
    <w:rsid w:val="00A32E04"/>
    <w:rsid w:val="00A37DA0"/>
    <w:rsid w:val="00A4504B"/>
    <w:rsid w:val="00A47280"/>
    <w:rsid w:val="00A57307"/>
    <w:rsid w:val="00A602B8"/>
    <w:rsid w:val="00A61288"/>
    <w:rsid w:val="00A645B7"/>
    <w:rsid w:val="00A70D74"/>
    <w:rsid w:val="00A7170D"/>
    <w:rsid w:val="00A71E79"/>
    <w:rsid w:val="00A7211B"/>
    <w:rsid w:val="00A75838"/>
    <w:rsid w:val="00A760E6"/>
    <w:rsid w:val="00A91D8E"/>
    <w:rsid w:val="00AA130B"/>
    <w:rsid w:val="00AB1684"/>
    <w:rsid w:val="00AB59B9"/>
    <w:rsid w:val="00AD37C7"/>
    <w:rsid w:val="00AD6A8C"/>
    <w:rsid w:val="00AE10A6"/>
    <w:rsid w:val="00AE3603"/>
    <w:rsid w:val="00AF5BA4"/>
    <w:rsid w:val="00B052BA"/>
    <w:rsid w:val="00B10C35"/>
    <w:rsid w:val="00B1676F"/>
    <w:rsid w:val="00B23816"/>
    <w:rsid w:val="00B3060D"/>
    <w:rsid w:val="00B3342F"/>
    <w:rsid w:val="00B42F3F"/>
    <w:rsid w:val="00B4407A"/>
    <w:rsid w:val="00B477D7"/>
    <w:rsid w:val="00B51661"/>
    <w:rsid w:val="00B53338"/>
    <w:rsid w:val="00B53889"/>
    <w:rsid w:val="00B552E8"/>
    <w:rsid w:val="00B56316"/>
    <w:rsid w:val="00B602B8"/>
    <w:rsid w:val="00B66D21"/>
    <w:rsid w:val="00B764DA"/>
    <w:rsid w:val="00B8327D"/>
    <w:rsid w:val="00B94351"/>
    <w:rsid w:val="00B963D2"/>
    <w:rsid w:val="00BB2EF0"/>
    <w:rsid w:val="00BB2F0A"/>
    <w:rsid w:val="00BB3C69"/>
    <w:rsid w:val="00BB5926"/>
    <w:rsid w:val="00BB7904"/>
    <w:rsid w:val="00BC1344"/>
    <w:rsid w:val="00BD288D"/>
    <w:rsid w:val="00BD522A"/>
    <w:rsid w:val="00BE32D8"/>
    <w:rsid w:val="00BE3ECF"/>
    <w:rsid w:val="00BE5634"/>
    <w:rsid w:val="00BF4A91"/>
    <w:rsid w:val="00BF5167"/>
    <w:rsid w:val="00C0283D"/>
    <w:rsid w:val="00C044D2"/>
    <w:rsid w:val="00C15B8D"/>
    <w:rsid w:val="00C2118D"/>
    <w:rsid w:val="00C266CF"/>
    <w:rsid w:val="00C32EF1"/>
    <w:rsid w:val="00C36148"/>
    <w:rsid w:val="00C370E0"/>
    <w:rsid w:val="00C41204"/>
    <w:rsid w:val="00C452D0"/>
    <w:rsid w:val="00C45CFB"/>
    <w:rsid w:val="00C508C4"/>
    <w:rsid w:val="00C617B1"/>
    <w:rsid w:val="00C63F90"/>
    <w:rsid w:val="00C7088F"/>
    <w:rsid w:val="00C73689"/>
    <w:rsid w:val="00C740B3"/>
    <w:rsid w:val="00C80A43"/>
    <w:rsid w:val="00C8113D"/>
    <w:rsid w:val="00C822FA"/>
    <w:rsid w:val="00C8624B"/>
    <w:rsid w:val="00CA5DBA"/>
    <w:rsid w:val="00CA6DA3"/>
    <w:rsid w:val="00CC1047"/>
    <w:rsid w:val="00CC4EA6"/>
    <w:rsid w:val="00CC56C9"/>
    <w:rsid w:val="00CC5E86"/>
    <w:rsid w:val="00CC6D7E"/>
    <w:rsid w:val="00CD1D6F"/>
    <w:rsid w:val="00CE23E7"/>
    <w:rsid w:val="00CF2FF5"/>
    <w:rsid w:val="00CF3277"/>
    <w:rsid w:val="00CF3CD2"/>
    <w:rsid w:val="00D00A9B"/>
    <w:rsid w:val="00D01E49"/>
    <w:rsid w:val="00D028A7"/>
    <w:rsid w:val="00D10588"/>
    <w:rsid w:val="00D16ABC"/>
    <w:rsid w:val="00D33040"/>
    <w:rsid w:val="00D37F63"/>
    <w:rsid w:val="00D41588"/>
    <w:rsid w:val="00D439CD"/>
    <w:rsid w:val="00D45E7F"/>
    <w:rsid w:val="00D54704"/>
    <w:rsid w:val="00D55EBA"/>
    <w:rsid w:val="00D60ADE"/>
    <w:rsid w:val="00D73491"/>
    <w:rsid w:val="00D74280"/>
    <w:rsid w:val="00D75572"/>
    <w:rsid w:val="00D80E1F"/>
    <w:rsid w:val="00D876ED"/>
    <w:rsid w:val="00DA02FD"/>
    <w:rsid w:val="00DA11BF"/>
    <w:rsid w:val="00DA2073"/>
    <w:rsid w:val="00DA28F7"/>
    <w:rsid w:val="00DA3603"/>
    <w:rsid w:val="00DA4736"/>
    <w:rsid w:val="00DA53A0"/>
    <w:rsid w:val="00DB2148"/>
    <w:rsid w:val="00DB7585"/>
    <w:rsid w:val="00DD1962"/>
    <w:rsid w:val="00DD2F14"/>
    <w:rsid w:val="00DE4A2B"/>
    <w:rsid w:val="00DF3EA0"/>
    <w:rsid w:val="00DF449B"/>
    <w:rsid w:val="00DF58CB"/>
    <w:rsid w:val="00DF624C"/>
    <w:rsid w:val="00DF7AC5"/>
    <w:rsid w:val="00E05DDD"/>
    <w:rsid w:val="00E07CB9"/>
    <w:rsid w:val="00E12321"/>
    <w:rsid w:val="00E206B9"/>
    <w:rsid w:val="00E20A36"/>
    <w:rsid w:val="00E25FB7"/>
    <w:rsid w:val="00E2728C"/>
    <w:rsid w:val="00E37ACE"/>
    <w:rsid w:val="00E43D56"/>
    <w:rsid w:val="00E46D02"/>
    <w:rsid w:val="00E558FD"/>
    <w:rsid w:val="00E72CC1"/>
    <w:rsid w:val="00E73879"/>
    <w:rsid w:val="00E75180"/>
    <w:rsid w:val="00E75BA4"/>
    <w:rsid w:val="00E80726"/>
    <w:rsid w:val="00E8094C"/>
    <w:rsid w:val="00E82F6B"/>
    <w:rsid w:val="00E85A82"/>
    <w:rsid w:val="00E9141D"/>
    <w:rsid w:val="00E94325"/>
    <w:rsid w:val="00E96058"/>
    <w:rsid w:val="00E967E3"/>
    <w:rsid w:val="00EA022E"/>
    <w:rsid w:val="00EA4BF5"/>
    <w:rsid w:val="00EA52A7"/>
    <w:rsid w:val="00EA561D"/>
    <w:rsid w:val="00EA5C4A"/>
    <w:rsid w:val="00EB3BA2"/>
    <w:rsid w:val="00EB4E63"/>
    <w:rsid w:val="00ED13BA"/>
    <w:rsid w:val="00ED1DBE"/>
    <w:rsid w:val="00ED2FC0"/>
    <w:rsid w:val="00EE4755"/>
    <w:rsid w:val="00EE7BE9"/>
    <w:rsid w:val="00EF0797"/>
    <w:rsid w:val="00EF0882"/>
    <w:rsid w:val="00F04E1E"/>
    <w:rsid w:val="00F05909"/>
    <w:rsid w:val="00F1507E"/>
    <w:rsid w:val="00F22154"/>
    <w:rsid w:val="00F22816"/>
    <w:rsid w:val="00F23B24"/>
    <w:rsid w:val="00F27F9D"/>
    <w:rsid w:val="00F3560C"/>
    <w:rsid w:val="00F369A7"/>
    <w:rsid w:val="00F37751"/>
    <w:rsid w:val="00F37A2E"/>
    <w:rsid w:val="00F42302"/>
    <w:rsid w:val="00F441E5"/>
    <w:rsid w:val="00F45064"/>
    <w:rsid w:val="00F46C9F"/>
    <w:rsid w:val="00F514B2"/>
    <w:rsid w:val="00F52668"/>
    <w:rsid w:val="00F56064"/>
    <w:rsid w:val="00F560C0"/>
    <w:rsid w:val="00F641C2"/>
    <w:rsid w:val="00F72B7A"/>
    <w:rsid w:val="00F859A6"/>
    <w:rsid w:val="00F92C3E"/>
    <w:rsid w:val="00FA0006"/>
    <w:rsid w:val="00FA0158"/>
    <w:rsid w:val="00FA1A37"/>
    <w:rsid w:val="00FA38CD"/>
    <w:rsid w:val="00FA5066"/>
    <w:rsid w:val="00FB1910"/>
    <w:rsid w:val="00FC4B03"/>
    <w:rsid w:val="00FE5D05"/>
    <w:rsid w:val="00FF0B40"/>
    <w:rsid w:val="00FF3CCC"/>
    <w:rsid w:val="00FF5B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45A9BC"/>
  <w15:chartTrackingRefBased/>
  <w15:docId w15:val="{03F56248-3E20-48B6-9A0C-9DE643116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41E5"/>
    <w:pPr>
      <w:jc w:val="both"/>
      <w:outlineLvl w:val="0"/>
    </w:pPr>
    <w:rPr>
      <w:rFonts w:ascii="Times New Roman" w:hAnsi="Times New Roman" w:cs="Times New Roman"/>
      <w:b/>
      <w:i/>
      <w:smallCaps/>
      <w:color w:val="766D85"/>
      <w:sz w:val="32"/>
    </w:rPr>
  </w:style>
  <w:style w:type="paragraph" w:styleId="Heading3">
    <w:name w:val="heading 3"/>
    <w:basedOn w:val="Normal"/>
    <w:next w:val="Normal"/>
    <w:link w:val="Heading3Char"/>
    <w:uiPriority w:val="9"/>
    <w:semiHidden/>
    <w:unhideWhenUsed/>
    <w:qFormat/>
    <w:rsid w:val="00135FE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E2D"/>
    <w:pPr>
      <w:ind w:left="720"/>
      <w:contextualSpacing/>
    </w:pPr>
  </w:style>
  <w:style w:type="table" w:styleId="TableGrid">
    <w:name w:val="Table Grid"/>
    <w:basedOn w:val="TableNormal"/>
    <w:uiPriority w:val="39"/>
    <w:rsid w:val="00F3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69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9D3"/>
  </w:style>
  <w:style w:type="paragraph" w:styleId="Footer">
    <w:name w:val="footer"/>
    <w:basedOn w:val="Normal"/>
    <w:link w:val="FooterChar"/>
    <w:uiPriority w:val="99"/>
    <w:unhideWhenUsed/>
    <w:rsid w:val="009569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9D3"/>
  </w:style>
  <w:style w:type="character" w:styleId="Hyperlink">
    <w:name w:val="Hyperlink"/>
    <w:basedOn w:val="DefaultParagraphFont"/>
    <w:uiPriority w:val="99"/>
    <w:unhideWhenUsed/>
    <w:rsid w:val="00EA022E"/>
    <w:rPr>
      <w:color w:val="0563C1" w:themeColor="hyperlink"/>
      <w:u w:val="single"/>
    </w:rPr>
  </w:style>
  <w:style w:type="character" w:styleId="FollowedHyperlink">
    <w:name w:val="FollowedHyperlink"/>
    <w:basedOn w:val="DefaultParagraphFont"/>
    <w:uiPriority w:val="99"/>
    <w:semiHidden/>
    <w:unhideWhenUsed/>
    <w:rsid w:val="00EA022E"/>
    <w:rPr>
      <w:color w:val="954F72" w:themeColor="followedHyperlink"/>
      <w:u w:val="single"/>
    </w:rPr>
  </w:style>
  <w:style w:type="character" w:styleId="UnresolvedMention">
    <w:name w:val="Unresolved Mention"/>
    <w:basedOn w:val="DefaultParagraphFont"/>
    <w:uiPriority w:val="99"/>
    <w:semiHidden/>
    <w:unhideWhenUsed/>
    <w:rsid w:val="00EA022E"/>
    <w:rPr>
      <w:color w:val="605E5C"/>
      <w:shd w:val="clear" w:color="auto" w:fill="E1DFDD"/>
    </w:rPr>
  </w:style>
  <w:style w:type="character" w:customStyle="1" w:styleId="Heading1Char">
    <w:name w:val="Heading 1 Char"/>
    <w:basedOn w:val="DefaultParagraphFont"/>
    <w:link w:val="Heading1"/>
    <w:uiPriority w:val="9"/>
    <w:rsid w:val="00F441E5"/>
    <w:rPr>
      <w:rFonts w:ascii="Times New Roman" w:hAnsi="Times New Roman" w:cs="Times New Roman"/>
      <w:b/>
      <w:i/>
      <w:smallCaps/>
      <w:color w:val="766D85"/>
      <w:sz w:val="32"/>
    </w:rPr>
  </w:style>
  <w:style w:type="paragraph" w:styleId="Caption">
    <w:name w:val="caption"/>
    <w:basedOn w:val="Normal"/>
    <w:next w:val="Normal"/>
    <w:uiPriority w:val="35"/>
    <w:unhideWhenUsed/>
    <w:qFormat/>
    <w:rsid w:val="00DA53A0"/>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1E19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197B"/>
    <w:rPr>
      <w:sz w:val="20"/>
      <w:szCs w:val="20"/>
    </w:rPr>
  </w:style>
  <w:style w:type="character" w:styleId="FootnoteReference">
    <w:name w:val="footnote reference"/>
    <w:basedOn w:val="DefaultParagraphFont"/>
    <w:uiPriority w:val="99"/>
    <w:semiHidden/>
    <w:unhideWhenUsed/>
    <w:rsid w:val="001E197B"/>
    <w:rPr>
      <w:vertAlign w:val="superscript"/>
    </w:rPr>
  </w:style>
  <w:style w:type="paragraph" w:styleId="EndnoteText">
    <w:name w:val="endnote text"/>
    <w:basedOn w:val="Normal"/>
    <w:link w:val="EndnoteTextChar"/>
    <w:uiPriority w:val="99"/>
    <w:semiHidden/>
    <w:unhideWhenUsed/>
    <w:rsid w:val="001E197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E197B"/>
    <w:rPr>
      <w:sz w:val="20"/>
      <w:szCs w:val="20"/>
    </w:rPr>
  </w:style>
  <w:style w:type="character" w:styleId="EndnoteReference">
    <w:name w:val="endnote reference"/>
    <w:basedOn w:val="DefaultParagraphFont"/>
    <w:uiPriority w:val="99"/>
    <w:semiHidden/>
    <w:unhideWhenUsed/>
    <w:rsid w:val="001E197B"/>
    <w:rPr>
      <w:vertAlign w:val="superscript"/>
    </w:rPr>
  </w:style>
  <w:style w:type="paragraph" w:styleId="NormalWeb">
    <w:name w:val="Normal (Web)"/>
    <w:basedOn w:val="Normal"/>
    <w:uiPriority w:val="99"/>
    <w:semiHidden/>
    <w:unhideWhenUsed/>
    <w:rsid w:val="00342AA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42AA7"/>
    <w:rPr>
      <w:i/>
      <w:iCs/>
    </w:rPr>
  </w:style>
  <w:style w:type="paragraph" w:customStyle="1" w:styleId="xmsonormal">
    <w:name w:val="x_msonormal"/>
    <w:basedOn w:val="Normal"/>
    <w:rsid w:val="00927A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135FE2"/>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135FE2"/>
    <w:rPr>
      <w:b/>
      <w:bCs/>
    </w:rPr>
  </w:style>
  <w:style w:type="character" w:styleId="PlaceholderText">
    <w:name w:val="Placeholder Text"/>
    <w:basedOn w:val="DefaultParagraphFont"/>
    <w:uiPriority w:val="99"/>
    <w:semiHidden/>
    <w:rsid w:val="0073184A"/>
    <w:rPr>
      <w:color w:val="808080"/>
    </w:rPr>
  </w:style>
  <w:style w:type="paragraph" w:customStyle="1" w:styleId="Body">
    <w:name w:val="Body"/>
    <w:basedOn w:val="Normal"/>
    <w:link w:val="BodyChar"/>
    <w:qFormat/>
    <w:rsid w:val="00B94351"/>
    <w:pPr>
      <w:jc w:val="both"/>
    </w:pPr>
    <w:rPr>
      <w:rFonts w:ascii="Times New Roman" w:hAnsi="Times New Roman" w:cs="Times New Roman"/>
      <w:sz w:val="24"/>
      <w:szCs w:val="23"/>
    </w:rPr>
  </w:style>
  <w:style w:type="character" w:customStyle="1" w:styleId="BodyChar">
    <w:name w:val="Body Char"/>
    <w:basedOn w:val="DefaultParagraphFont"/>
    <w:link w:val="Body"/>
    <w:rsid w:val="00B94351"/>
    <w:rPr>
      <w:rFonts w:ascii="Times New Roman" w:hAnsi="Times New Roman" w:cs="Times New Roman"/>
      <w:sz w:val="24"/>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5672">
      <w:bodyDiv w:val="1"/>
      <w:marLeft w:val="0"/>
      <w:marRight w:val="0"/>
      <w:marTop w:val="0"/>
      <w:marBottom w:val="0"/>
      <w:divBdr>
        <w:top w:val="none" w:sz="0" w:space="0" w:color="auto"/>
        <w:left w:val="none" w:sz="0" w:space="0" w:color="auto"/>
        <w:bottom w:val="none" w:sz="0" w:space="0" w:color="auto"/>
        <w:right w:val="none" w:sz="0" w:space="0" w:color="auto"/>
      </w:divBdr>
    </w:div>
    <w:div w:id="30419229">
      <w:bodyDiv w:val="1"/>
      <w:marLeft w:val="0"/>
      <w:marRight w:val="0"/>
      <w:marTop w:val="0"/>
      <w:marBottom w:val="0"/>
      <w:divBdr>
        <w:top w:val="none" w:sz="0" w:space="0" w:color="auto"/>
        <w:left w:val="none" w:sz="0" w:space="0" w:color="auto"/>
        <w:bottom w:val="none" w:sz="0" w:space="0" w:color="auto"/>
        <w:right w:val="none" w:sz="0" w:space="0" w:color="auto"/>
      </w:divBdr>
    </w:div>
    <w:div w:id="110364816">
      <w:bodyDiv w:val="1"/>
      <w:marLeft w:val="0"/>
      <w:marRight w:val="0"/>
      <w:marTop w:val="0"/>
      <w:marBottom w:val="0"/>
      <w:divBdr>
        <w:top w:val="none" w:sz="0" w:space="0" w:color="auto"/>
        <w:left w:val="none" w:sz="0" w:space="0" w:color="auto"/>
        <w:bottom w:val="none" w:sz="0" w:space="0" w:color="auto"/>
        <w:right w:val="none" w:sz="0" w:space="0" w:color="auto"/>
      </w:divBdr>
    </w:div>
    <w:div w:id="112020232">
      <w:bodyDiv w:val="1"/>
      <w:marLeft w:val="0"/>
      <w:marRight w:val="0"/>
      <w:marTop w:val="0"/>
      <w:marBottom w:val="0"/>
      <w:divBdr>
        <w:top w:val="none" w:sz="0" w:space="0" w:color="auto"/>
        <w:left w:val="none" w:sz="0" w:space="0" w:color="auto"/>
        <w:bottom w:val="none" w:sz="0" w:space="0" w:color="auto"/>
        <w:right w:val="none" w:sz="0" w:space="0" w:color="auto"/>
      </w:divBdr>
      <w:divsChild>
        <w:div w:id="1009987495">
          <w:marLeft w:val="0"/>
          <w:marRight w:val="0"/>
          <w:marTop w:val="0"/>
          <w:marBottom w:val="0"/>
          <w:divBdr>
            <w:top w:val="none" w:sz="0" w:space="0" w:color="auto"/>
            <w:left w:val="none" w:sz="0" w:space="0" w:color="auto"/>
            <w:bottom w:val="none" w:sz="0" w:space="0" w:color="auto"/>
            <w:right w:val="none" w:sz="0" w:space="0" w:color="auto"/>
          </w:divBdr>
          <w:divsChild>
            <w:div w:id="1971933144">
              <w:marLeft w:val="0"/>
              <w:marRight w:val="0"/>
              <w:marTop w:val="0"/>
              <w:marBottom w:val="0"/>
              <w:divBdr>
                <w:top w:val="none" w:sz="0" w:space="0" w:color="auto"/>
                <w:left w:val="none" w:sz="0" w:space="0" w:color="auto"/>
                <w:bottom w:val="none" w:sz="0" w:space="0" w:color="auto"/>
                <w:right w:val="none" w:sz="0" w:space="0" w:color="auto"/>
              </w:divBdr>
              <w:divsChild>
                <w:div w:id="4317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313919">
          <w:marLeft w:val="0"/>
          <w:marRight w:val="0"/>
          <w:marTop w:val="0"/>
          <w:marBottom w:val="0"/>
          <w:divBdr>
            <w:top w:val="none" w:sz="0" w:space="0" w:color="auto"/>
            <w:left w:val="none" w:sz="0" w:space="0" w:color="auto"/>
            <w:bottom w:val="none" w:sz="0" w:space="0" w:color="auto"/>
            <w:right w:val="none" w:sz="0" w:space="0" w:color="auto"/>
          </w:divBdr>
          <w:divsChild>
            <w:div w:id="1126922702">
              <w:marLeft w:val="0"/>
              <w:marRight w:val="0"/>
              <w:marTop w:val="0"/>
              <w:marBottom w:val="0"/>
              <w:divBdr>
                <w:top w:val="none" w:sz="0" w:space="0" w:color="auto"/>
                <w:left w:val="none" w:sz="0" w:space="0" w:color="auto"/>
                <w:bottom w:val="none" w:sz="0" w:space="0" w:color="auto"/>
                <w:right w:val="none" w:sz="0" w:space="0" w:color="auto"/>
              </w:divBdr>
              <w:divsChild>
                <w:div w:id="733699307">
                  <w:marLeft w:val="0"/>
                  <w:marRight w:val="0"/>
                  <w:marTop w:val="0"/>
                  <w:marBottom w:val="0"/>
                  <w:divBdr>
                    <w:top w:val="none" w:sz="0" w:space="0" w:color="auto"/>
                    <w:left w:val="none" w:sz="0" w:space="0" w:color="auto"/>
                    <w:bottom w:val="none" w:sz="0" w:space="0" w:color="auto"/>
                    <w:right w:val="none" w:sz="0" w:space="0" w:color="auto"/>
                  </w:divBdr>
                  <w:divsChild>
                    <w:div w:id="2023697769">
                      <w:marLeft w:val="0"/>
                      <w:marRight w:val="0"/>
                      <w:marTop w:val="0"/>
                      <w:marBottom w:val="600"/>
                      <w:divBdr>
                        <w:top w:val="none" w:sz="0" w:space="0" w:color="auto"/>
                        <w:left w:val="none" w:sz="0" w:space="0" w:color="auto"/>
                        <w:bottom w:val="none" w:sz="0" w:space="0" w:color="auto"/>
                        <w:right w:val="none" w:sz="0" w:space="0" w:color="auto"/>
                      </w:divBdr>
                      <w:divsChild>
                        <w:div w:id="1202209546">
                          <w:marLeft w:val="0"/>
                          <w:marRight w:val="0"/>
                          <w:marTop w:val="0"/>
                          <w:marBottom w:val="0"/>
                          <w:divBdr>
                            <w:top w:val="none" w:sz="0" w:space="0" w:color="auto"/>
                            <w:left w:val="none" w:sz="0" w:space="0" w:color="auto"/>
                            <w:bottom w:val="none" w:sz="0" w:space="0" w:color="auto"/>
                            <w:right w:val="none" w:sz="0" w:space="0" w:color="auto"/>
                          </w:divBdr>
                          <w:divsChild>
                            <w:div w:id="1126506063">
                              <w:marLeft w:val="0"/>
                              <w:marRight w:val="0"/>
                              <w:marTop w:val="0"/>
                              <w:marBottom w:val="0"/>
                              <w:divBdr>
                                <w:top w:val="none" w:sz="0" w:space="0" w:color="auto"/>
                                <w:left w:val="none" w:sz="0" w:space="0" w:color="auto"/>
                                <w:bottom w:val="none" w:sz="0" w:space="0" w:color="auto"/>
                                <w:right w:val="none" w:sz="0" w:space="0" w:color="auto"/>
                              </w:divBdr>
                              <w:divsChild>
                                <w:div w:id="1106265433">
                                  <w:marLeft w:val="0"/>
                                  <w:marRight w:val="0"/>
                                  <w:marTop w:val="0"/>
                                  <w:marBottom w:val="0"/>
                                  <w:divBdr>
                                    <w:top w:val="none" w:sz="0" w:space="0" w:color="auto"/>
                                    <w:left w:val="none" w:sz="0" w:space="0" w:color="auto"/>
                                    <w:bottom w:val="none" w:sz="0" w:space="0" w:color="auto"/>
                                    <w:right w:val="none" w:sz="0" w:space="0" w:color="auto"/>
                                  </w:divBdr>
                                </w:div>
                                <w:div w:id="887453829">
                                  <w:marLeft w:val="0"/>
                                  <w:marRight w:val="0"/>
                                  <w:marTop w:val="0"/>
                                  <w:marBottom w:val="0"/>
                                  <w:divBdr>
                                    <w:top w:val="none" w:sz="0" w:space="0" w:color="auto"/>
                                    <w:left w:val="none" w:sz="0" w:space="0" w:color="auto"/>
                                    <w:bottom w:val="none" w:sz="0" w:space="0" w:color="auto"/>
                                    <w:right w:val="none" w:sz="0" w:space="0" w:color="auto"/>
                                  </w:divBdr>
                                  <w:divsChild>
                                    <w:div w:id="732504768">
                                      <w:marLeft w:val="0"/>
                                      <w:marRight w:val="0"/>
                                      <w:marTop w:val="0"/>
                                      <w:marBottom w:val="0"/>
                                      <w:divBdr>
                                        <w:top w:val="none" w:sz="0" w:space="0" w:color="auto"/>
                                        <w:left w:val="none" w:sz="0" w:space="0" w:color="auto"/>
                                        <w:bottom w:val="none" w:sz="0" w:space="0" w:color="auto"/>
                                        <w:right w:val="none" w:sz="0" w:space="0" w:color="auto"/>
                                      </w:divBdr>
                                      <w:divsChild>
                                        <w:div w:id="1673944049">
                                          <w:marLeft w:val="0"/>
                                          <w:marRight w:val="0"/>
                                          <w:marTop w:val="0"/>
                                          <w:marBottom w:val="0"/>
                                          <w:divBdr>
                                            <w:top w:val="none" w:sz="0" w:space="0" w:color="auto"/>
                                            <w:left w:val="none" w:sz="0" w:space="0" w:color="auto"/>
                                            <w:bottom w:val="none" w:sz="0" w:space="0" w:color="auto"/>
                                            <w:right w:val="none" w:sz="0" w:space="0" w:color="auto"/>
                                          </w:divBdr>
                                        </w:div>
                                        <w:div w:id="1081025971">
                                          <w:marLeft w:val="0"/>
                                          <w:marRight w:val="0"/>
                                          <w:marTop w:val="0"/>
                                          <w:marBottom w:val="0"/>
                                          <w:divBdr>
                                            <w:top w:val="none" w:sz="0" w:space="0" w:color="auto"/>
                                            <w:left w:val="none" w:sz="0" w:space="0" w:color="auto"/>
                                            <w:bottom w:val="none" w:sz="0" w:space="0" w:color="auto"/>
                                            <w:right w:val="none" w:sz="0" w:space="0" w:color="auto"/>
                                          </w:divBdr>
                                        </w:div>
                                        <w:div w:id="1675569920">
                                          <w:marLeft w:val="0"/>
                                          <w:marRight w:val="0"/>
                                          <w:marTop w:val="300"/>
                                          <w:marBottom w:val="90"/>
                                          <w:divBdr>
                                            <w:top w:val="single" w:sz="6" w:space="15" w:color="BFBFBF"/>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3834087">
      <w:bodyDiv w:val="1"/>
      <w:marLeft w:val="0"/>
      <w:marRight w:val="0"/>
      <w:marTop w:val="0"/>
      <w:marBottom w:val="0"/>
      <w:divBdr>
        <w:top w:val="none" w:sz="0" w:space="0" w:color="auto"/>
        <w:left w:val="none" w:sz="0" w:space="0" w:color="auto"/>
        <w:bottom w:val="none" w:sz="0" w:space="0" w:color="auto"/>
        <w:right w:val="none" w:sz="0" w:space="0" w:color="auto"/>
      </w:divBdr>
    </w:div>
    <w:div w:id="987442740">
      <w:bodyDiv w:val="1"/>
      <w:marLeft w:val="0"/>
      <w:marRight w:val="0"/>
      <w:marTop w:val="0"/>
      <w:marBottom w:val="0"/>
      <w:divBdr>
        <w:top w:val="none" w:sz="0" w:space="0" w:color="auto"/>
        <w:left w:val="none" w:sz="0" w:space="0" w:color="auto"/>
        <w:bottom w:val="none" w:sz="0" w:space="0" w:color="auto"/>
        <w:right w:val="none" w:sz="0" w:space="0" w:color="auto"/>
      </w:divBdr>
    </w:div>
    <w:div w:id="1360664945">
      <w:bodyDiv w:val="1"/>
      <w:marLeft w:val="0"/>
      <w:marRight w:val="0"/>
      <w:marTop w:val="0"/>
      <w:marBottom w:val="0"/>
      <w:divBdr>
        <w:top w:val="none" w:sz="0" w:space="0" w:color="auto"/>
        <w:left w:val="none" w:sz="0" w:space="0" w:color="auto"/>
        <w:bottom w:val="none" w:sz="0" w:space="0" w:color="auto"/>
        <w:right w:val="none" w:sz="0" w:space="0" w:color="auto"/>
      </w:divBdr>
    </w:div>
    <w:div w:id="1674457488">
      <w:bodyDiv w:val="1"/>
      <w:marLeft w:val="0"/>
      <w:marRight w:val="0"/>
      <w:marTop w:val="0"/>
      <w:marBottom w:val="0"/>
      <w:divBdr>
        <w:top w:val="none" w:sz="0" w:space="0" w:color="auto"/>
        <w:left w:val="none" w:sz="0" w:space="0" w:color="auto"/>
        <w:bottom w:val="none" w:sz="0" w:space="0" w:color="auto"/>
        <w:right w:val="none" w:sz="0" w:space="0" w:color="auto"/>
      </w:divBdr>
    </w:div>
    <w:div w:id="190737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nviz.com/quote.ashx?t=VOO&amp;ty=l&amp;ta=0&amp;p=d"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BB5D7-1CCC-4E7E-BEC6-B07E0822C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1725</Words>
  <Characters>9835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Richmond</Company>
  <LinksUpToDate>false</LinksUpToDate>
  <CharactersWithSpaces>11537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Farizo, Joseph</dc:creator>
  <cp:keywords/>
  <dc:description/>
  <cp:lastModifiedBy>Farizo, Joe</cp:lastModifiedBy>
  <cp:revision>2</cp:revision>
  <cp:lastPrinted>2024-08-20T14:44:00Z</cp:lastPrinted>
  <dcterms:created xsi:type="dcterms:W3CDTF">2025-07-31T19:19:00Z</dcterms:created>
  <dcterms:modified xsi:type="dcterms:W3CDTF">2025-07-31T19:19:00Z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badf321045851084e0c213a8f0968e2b56fbdeaf7c414b0135830ea55e08e806</vt:lpwstr>
  </property>
</Properties>
</file>