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779F" w14:textId="04CB9DE3" w:rsidR="00BB2F0A" w:rsidRPr="006D746D" w:rsidRDefault="00432F14" w:rsidP="00B764DA">
      <w:pPr>
        <w:tabs>
          <w:tab w:val="left" w:pos="1477"/>
        </w:tabs>
        <w:jc w:val="center"/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</w:pPr>
      <w:bookmarkStart w:id="0" w:name="_Hlk106103543"/>
      <w:r w:rsidRPr="006D746D"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  <w:t xml:space="preserve">Trading Assignment </w:t>
      </w:r>
      <w:bookmarkEnd w:id="0"/>
      <w:r w:rsidRPr="006D746D"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  <w:t>1</w:t>
      </w:r>
    </w:p>
    <w:p w14:paraId="695A8E27" w14:textId="110D45D1" w:rsidR="00BB2F0A" w:rsidRPr="00FD06EA" w:rsidRDefault="00432F14" w:rsidP="00BB2F0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bookmarkStart w:id="1" w:name="_Hlk92111763"/>
      <w:r>
        <w:rPr>
          <w:rFonts w:ascii="Times New Roman" w:hAnsi="Times New Roman" w:cs="Times New Roman"/>
          <w:b/>
          <w:smallCaps/>
          <w:color w:val="990000"/>
          <w:sz w:val="32"/>
        </w:rPr>
        <w:t>Value Stocks</w:t>
      </w:r>
      <w:bookmarkStart w:id="2" w:name="_GoBack"/>
      <w:bookmarkEnd w:id="2"/>
    </w:p>
    <w:bookmarkEnd w:id="1"/>
    <w:p w14:paraId="181305C9" w14:textId="5544E97A" w:rsidR="008D54CB" w:rsidRDefault="00344F54" w:rsidP="00DF58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A6">
        <w:rPr>
          <w:rFonts w:ascii="Times New Roman" w:hAnsi="Times New Roman" w:cs="Times New Roman"/>
          <w:bCs/>
          <w:sz w:val="24"/>
          <w:szCs w:val="24"/>
        </w:rPr>
        <w:t xml:space="preserve">Identify and </w:t>
      </w:r>
      <w:r w:rsidR="00AE10A6" w:rsidRPr="00AE10A6">
        <w:rPr>
          <w:rFonts w:ascii="Times New Roman" w:hAnsi="Times New Roman" w:cs="Times New Roman"/>
          <w:bCs/>
          <w:sz w:val="24"/>
          <w:szCs w:val="24"/>
        </w:rPr>
        <w:t>buy</w:t>
      </w:r>
      <w:r w:rsidRPr="00AE10A6">
        <w:rPr>
          <w:rFonts w:ascii="Times New Roman" w:hAnsi="Times New Roman" w:cs="Times New Roman"/>
          <w:bCs/>
          <w:sz w:val="24"/>
          <w:szCs w:val="24"/>
        </w:rPr>
        <w:t xml:space="preserve"> three value stocks</w:t>
      </w:r>
      <w:r w:rsidR="003F6497">
        <w:rPr>
          <w:rFonts w:ascii="Times New Roman" w:hAnsi="Times New Roman" w:cs="Times New Roman"/>
          <w:bCs/>
          <w:sz w:val="24"/>
          <w:szCs w:val="24"/>
        </w:rPr>
        <w:t xml:space="preserve"> in Stock|Trak</w:t>
      </w:r>
      <w:r w:rsidRPr="00AE10A6">
        <w:rPr>
          <w:rFonts w:ascii="Times New Roman" w:hAnsi="Times New Roman" w:cs="Times New Roman"/>
          <w:bCs/>
          <w:sz w:val="24"/>
          <w:szCs w:val="24"/>
        </w:rPr>
        <w:t>. Invest a minimum of $10,000</w:t>
      </w:r>
      <w:r w:rsidR="00F37751">
        <w:rPr>
          <w:rFonts w:ascii="Times New Roman" w:hAnsi="Times New Roman" w:cs="Times New Roman"/>
          <w:bCs/>
          <w:sz w:val="24"/>
          <w:szCs w:val="24"/>
        </w:rPr>
        <w:t xml:space="preserve"> (but no more than $20,000)</w:t>
      </w:r>
      <w:r w:rsidRPr="00AE10A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AE10A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each</w:t>
      </w:r>
      <w:r w:rsidR="00AE10A6" w:rsidRPr="00AE10A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3F649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stock</w:t>
      </w:r>
      <w:r w:rsidR="00AE10A6">
        <w:rPr>
          <w:rFonts w:ascii="Times New Roman" w:hAnsi="Times New Roman" w:cs="Times New Roman"/>
          <w:bCs/>
          <w:sz w:val="24"/>
          <w:szCs w:val="24"/>
        </w:rPr>
        <w:t>. You will be required to hold these stocks until the end of the trading game, so choose carefully!</w:t>
      </w:r>
    </w:p>
    <w:p w14:paraId="25F8C611" w14:textId="0DC7B52D" w:rsidR="00AE10A6" w:rsidRDefault="00AE10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table below</w:t>
      </w:r>
      <w:r w:rsidR="00CC6D7E">
        <w:rPr>
          <w:rFonts w:ascii="Times New Roman" w:hAnsi="Times New Roman" w:cs="Times New Roman"/>
          <w:bCs/>
          <w:sz w:val="24"/>
          <w:szCs w:val="24"/>
        </w:rPr>
        <w:t>. An example is provided in light gray text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620"/>
        <w:gridCol w:w="2335"/>
      </w:tblGrid>
      <w:tr w:rsidR="00A37DA0" w14:paraId="77E199FD" w14:textId="77777777" w:rsidTr="00A37DA0">
        <w:tc>
          <w:tcPr>
            <w:tcW w:w="3685" w:type="dxa"/>
          </w:tcPr>
          <w:p w14:paraId="5DB18D3B" w14:textId="77777777" w:rsidR="00A37DA0" w:rsidRPr="00A37DA0" w:rsidRDefault="00A37DA0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</w:p>
        </w:tc>
        <w:tc>
          <w:tcPr>
            <w:tcW w:w="1710" w:type="dxa"/>
          </w:tcPr>
          <w:p w14:paraId="7F83EE64" w14:textId="77777777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Amount Invested</w:t>
            </w:r>
          </w:p>
        </w:tc>
        <w:tc>
          <w:tcPr>
            <w:tcW w:w="1620" w:type="dxa"/>
          </w:tcPr>
          <w:p w14:paraId="035D69FE" w14:textId="77777777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2335" w:type="dxa"/>
          </w:tcPr>
          <w:p w14:paraId="31B7EBE6" w14:textId="77777777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A37DA0" w14:paraId="145899B0" w14:textId="77777777" w:rsidTr="00A37DA0">
        <w:tc>
          <w:tcPr>
            <w:tcW w:w="3685" w:type="dxa"/>
          </w:tcPr>
          <w:p w14:paraId="24DD6B09" w14:textId="24943A78" w:rsidR="00A37DA0" w:rsidRPr="00A37DA0" w:rsidRDefault="00A37DA0" w:rsidP="005B3C6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0.)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Inc.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710" w:type="dxa"/>
          </w:tcPr>
          <w:p w14:paraId="5D5FEFF1" w14:textId="7408D72D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2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,000</w:t>
            </w:r>
          </w:p>
        </w:tc>
        <w:tc>
          <w:tcPr>
            <w:tcW w:w="1620" w:type="dxa"/>
          </w:tcPr>
          <w:p w14:paraId="4484C8D1" w14:textId="19606149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148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.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48</w:t>
            </w:r>
          </w:p>
        </w:tc>
        <w:tc>
          <w:tcPr>
            <w:tcW w:w="2335" w:type="dxa"/>
          </w:tcPr>
          <w:p w14:paraId="3518D2B8" w14:textId="3571EDD5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9:45am</w:t>
            </w:r>
          </w:p>
        </w:tc>
      </w:tr>
      <w:tr w:rsidR="00A37DA0" w14:paraId="0100743A" w14:textId="77777777" w:rsidTr="00A37DA0">
        <w:tc>
          <w:tcPr>
            <w:tcW w:w="3685" w:type="dxa"/>
          </w:tcPr>
          <w:p w14:paraId="260CBB4C" w14:textId="764910F3" w:rsidR="00A37DA0" w:rsidRPr="009E4423" w:rsidRDefault="00A37DA0" w:rsidP="005B3C69">
            <w:pPr>
              <w:rPr>
                <w:rFonts w:ascii="Times New Roman" w:hAnsi="Times New Roman" w:cs="Times New Roman"/>
                <w:bCs/>
              </w:rPr>
            </w:pPr>
            <w:r w:rsidRPr="009E4423">
              <w:rPr>
                <w:rFonts w:ascii="Times New Roman" w:hAnsi="Times New Roman" w:cs="Times New Roman"/>
                <w:bCs/>
              </w:rPr>
              <w:t xml:space="preserve">1.) </w:t>
            </w:r>
          </w:p>
        </w:tc>
        <w:tc>
          <w:tcPr>
            <w:tcW w:w="1710" w:type="dxa"/>
          </w:tcPr>
          <w:p w14:paraId="517A1B97" w14:textId="11C894C3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5481468C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</w:tcPr>
          <w:p w14:paraId="7E7C48C4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7DA0" w14:paraId="5E918DC2" w14:textId="77777777" w:rsidTr="00A37DA0">
        <w:tc>
          <w:tcPr>
            <w:tcW w:w="3685" w:type="dxa"/>
          </w:tcPr>
          <w:p w14:paraId="097793A4" w14:textId="77777777" w:rsidR="00A37DA0" w:rsidRPr="009E4423" w:rsidRDefault="00A37DA0" w:rsidP="005B3C69">
            <w:pPr>
              <w:rPr>
                <w:rFonts w:ascii="Times New Roman" w:hAnsi="Times New Roman" w:cs="Times New Roman"/>
                <w:bCs/>
              </w:rPr>
            </w:pPr>
            <w:r w:rsidRPr="009E4423">
              <w:rPr>
                <w:rFonts w:ascii="Times New Roman" w:hAnsi="Times New Roman" w:cs="Times New Roman"/>
                <w:bCs/>
              </w:rPr>
              <w:t xml:space="preserve">2.) </w:t>
            </w:r>
          </w:p>
        </w:tc>
        <w:tc>
          <w:tcPr>
            <w:tcW w:w="1710" w:type="dxa"/>
          </w:tcPr>
          <w:p w14:paraId="4B67A164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61A7621D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</w:tcPr>
          <w:p w14:paraId="6D6BE087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7DA0" w14:paraId="7AB6BE89" w14:textId="77777777" w:rsidTr="00A37DA0">
        <w:tc>
          <w:tcPr>
            <w:tcW w:w="3685" w:type="dxa"/>
          </w:tcPr>
          <w:p w14:paraId="10F828EA" w14:textId="77777777" w:rsidR="00A37DA0" w:rsidRPr="009E4423" w:rsidRDefault="00A37DA0" w:rsidP="005B3C69">
            <w:pPr>
              <w:rPr>
                <w:rFonts w:ascii="Times New Roman" w:hAnsi="Times New Roman" w:cs="Times New Roman"/>
                <w:bCs/>
              </w:rPr>
            </w:pPr>
            <w:r w:rsidRPr="009E4423">
              <w:rPr>
                <w:rFonts w:ascii="Times New Roman" w:hAnsi="Times New Roman" w:cs="Times New Roman"/>
                <w:bCs/>
              </w:rPr>
              <w:t xml:space="preserve">3.) </w:t>
            </w:r>
          </w:p>
        </w:tc>
        <w:tc>
          <w:tcPr>
            <w:tcW w:w="1710" w:type="dxa"/>
          </w:tcPr>
          <w:p w14:paraId="1B465FE4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75D98138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</w:tcPr>
          <w:p w14:paraId="343F47EA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7F0DF8C" w14:textId="73EC0333" w:rsidR="00AE10A6" w:rsidRPr="00AD37C7" w:rsidRDefault="00AE10A6">
      <w:pPr>
        <w:rPr>
          <w:rFonts w:ascii="Times New Roman" w:hAnsi="Times New Roman" w:cs="Times New Roman"/>
          <w:bCs/>
          <w:sz w:val="24"/>
          <w:szCs w:val="24"/>
        </w:rPr>
      </w:pPr>
    </w:p>
    <w:p w14:paraId="3098237E" w14:textId="5BA13EFE" w:rsidR="000866CB" w:rsidRDefault="008270F1" w:rsidP="00DD2F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0F1">
        <w:rPr>
          <w:rFonts w:ascii="Times New Roman" w:hAnsi="Times New Roman" w:cs="Times New Roman"/>
          <w:bCs/>
          <w:sz w:val="24"/>
          <w:szCs w:val="24"/>
        </w:rPr>
        <w:t>In the space below, provide your rationale for choosing these three stocks</w:t>
      </w:r>
      <w:r w:rsidR="00342AA7">
        <w:rPr>
          <w:rFonts w:ascii="Times New Roman" w:hAnsi="Times New Roman" w:cs="Times New Roman"/>
          <w:bCs/>
          <w:sz w:val="24"/>
          <w:szCs w:val="24"/>
        </w:rPr>
        <w:t xml:space="preserve"> (no more than 250 words</w:t>
      </w:r>
      <w:r w:rsidR="00DF58CB">
        <w:rPr>
          <w:rFonts w:ascii="Times New Roman" w:hAnsi="Times New Roman" w:cs="Times New Roman"/>
          <w:bCs/>
          <w:sz w:val="24"/>
          <w:szCs w:val="24"/>
        </w:rPr>
        <w:t xml:space="preserve"> total</w:t>
      </w:r>
      <w:r w:rsidR="00342AA7">
        <w:rPr>
          <w:rFonts w:ascii="Times New Roman" w:hAnsi="Times New Roman" w:cs="Times New Roman"/>
          <w:bCs/>
          <w:sz w:val="24"/>
          <w:szCs w:val="24"/>
        </w:rPr>
        <w:t>)</w:t>
      </w:r>
      <w:r w:rsidR="00A612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58CB">
        <w:rPr>
          <w:rFonts w:ascii="Times New Roman" w:hAnsi="Times New Roman" w:cs="Times New Roman"/>
          <w:bCs/>
          <w:sz w:val="24"/>
          <w:szCs w:val="24"/>
        </w:rPr>
        <w:t xml:space="preserve">Feel free to provide the </w:t>
      </w:r>
      <w:r w:rsidR="00C7088F">
        <w:rPr>
          <w:rFonts w:ascii="Times New Roman" w:hAnsi="Times New Roman" w:cs="Times New Roman"/>
          <w:bCs/>
          <w:sz w:val="24"/>
          <w:szCs w:val="24"/>
        </w:rPr>
        <w:t xml:space="preserve">WSJ </w:t>
      </w:r>
      <w:r w:rsidR="00DF58CB">
        <w:rPr>
          <w:rFonts w:ascii="Times New Roman" w:hAnsi="Times New Roman" w:cs="Times New Roman"/>
          <w:bCs/>
          <w:sz w:val="24"/>
          <w:szCs w:val="24"/>
        </w:rPr>
        <w:t xml:space="preserve">articles or </w:t>
      </w:r>
      <w:r w:rsidR="00C7088F">
        <w:rPr>
          <w:rFonts w:ascii="Times New Roman" w:hAnsi="Times New Roman" w:cs="Times New Roman"/>
          <w:bCs/>
          <w:sz w:val="24"/>
          <w:szCs w:val="24"/>
        </w:rPr>
        <w:t xml:space="preserve">news </w:t>
      </w:r>
      <w:r w:rsidR="00DF58CB">
        <w:rPr>
          <w:rFonts w:ascii="Times New Roman" w:hAnsi="Times New Roman" w:cs="Times New Roman"/>
          <w:bCs/>
          <w:sz w:val="24"/>
          <w:szCs w:val="24"/>
        </w:rPr>
        <w:t>sources that helped you arrive at your choice</w:t>
      </w:r>
      <w:r w:rsidR="001A540E">
        <w:rPr>
          <w:rFonts w:ascii="Times New Roman" w:hAnsi="Times New Roman" w:cs="Times New Roman"/>
          <w:bCs/>
          <w:sz w:val="24"/>
          <w:szCs w:val="24"/>
        </w:rPr>
        <w:t>s</w:t>
      </w:r>
      <w:r w:rsidR="00DF58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Comment specifically on what makes the</w:t>
      </w:r>
      <w:r w:rsidR="00AD37C7">
        <w:rPr>
          <w:rFonts w:ascii="Times New Roman" w:hAnsi="Times New Roman" w:cs="Times New Roman"/>
          <w:bCs/>
          <w:sz w:val="24"/>
          <w:szCs w:val="24"/>
        </w:rPr>
        <w:t>se stocks</w:t>
      </w:r>
      <w:r>
        <w:rPr>
          <w:rFonts w:ascii="Times New Roman" w:hAnsi="Times New Roman" w:cs="Times New Roman"/>
          <w:bCs/>
          <w:sz w:val="24"/>
          <w:szCs w:val="24"/>
        </w:rPr>
        <w:t xml:space="preserve"> “value” stocks.</w:t>
      </w:r>
      <w:r w:rsidR="00BF4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6CB">
        <w:rPr>
          <w:rFonts w:ascii="Times New Roman" w:hAnsi="Times New Roman" w:cs="Times New Roman"/>
          <w:bCs/>
          <w:sz w:val="24"/>
          <w:szCs w:val="24"/>
        </w:rPr>
        <w:t xml:space="preserve">For all </w:t>
      </w:r>
      <w:r w:rsidR="00B477D7">
        <w:rPr>
          <w:rFonts w:ascii="Times New Roman" w:hAnsi="Times New Roman" w:cs="Times New Roman"/>
          <w:bCs/>
          <w:sz w:val="24"/>
          <w:szCs w:val="24"/>
        </w:rPr>
        <w:t>writing</w:t>
      </w:r>
      <w:r w:rsidR="000866CB">
        <w:rPr>
          <w:rFonts w:ascii="Times New Roman" w:hAnsi="Times New Roman" w:cs="Times New Roman"/>
          <w:bCs/>
          <w:sz w:val="24"/>
          <w:szCs w:val="24"/>
        </w:rPr>
        <w:t xml:space="preserve"> assignments</w:t>
      </w:r>
      <w:r w:rsidR="00F37751">
        <w:rPr>
          <w:rFonts w:ascii="Times New Roman" w:hAnsi="Times New Roman" w:cs="Times New Roman"/>
          <w:bCs/>
          <w:sz w:val="24"/>
          <w:szCs w:val="24"/>
        </w:rPr>
        <w:t>,</w:t>
      </w:r>
      <w:r w:rsidR="00BE5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6CB">
        <w:rPr>
          <w:rFonts w:ascii="Times New Roman" w:hAnsi="Times New Roman" w:cs="Times New Roman"/>
          <w:bCs/>
          <w:sz w:val="24"/>
          <w:szCs w:val="24"/>
        </w:rPr>
        <w:t>t</w:t>
      </w:r>
      <w:r w:rsidR="00DF58CB">
        <w:rPr>
          <w:rFonts w:ascii="Times New Roman" w:hAnsi="Times New Roman" w:cs="Times New Roman"/>
          <w:bCs/>
          <w:sz w:val="24"/>
          <w:szCs w:val="24"/>
        </w:rPr>
        <w:t xml:space="preserve">he quality of your discussion </w:t>
      </w:r>
      <w:r w:rsidR="00F37751">
        <w:rPr>
          <w:rFonts w:ascii="Times New Roman" w:hAnsi="Times New Roman" w:cs="Times New Roman"/>
          <w:bCs/>
          <w:sz w:val="24"/>
          <w:szCs w:val="24"/>
        </w:rPr>
        <w:t>(</w:t>
      </w:r>
      <w:r w:rsidR="00DF58CB">
        <w:rPr>
          <w:rFonts w:ascii="Times New Roman" w:hAnsi="Times New Roman" w:cs="Times New Roman"/>
          <w:bCs/>
          <w:sz w:val="24"/>
          <w:szCs w:val="24"/>
        </w:rPr>
        <w:t>particularly as it compares to your peers</w:t>
      </w:r>
      <w:r w:rsidR="00F37751">
        <w:rPr>
          <w:rFonts w:ascii="Times New Roman" w:hAnsi="Times New Roman" w:cs="Times New Roman"/>
          <w:bCs/>
          <w:sz w:val="24"/>
          <w:szCs w:val="24"/>
        </w:rPr>
        <w:t>)</w:t>
      </w:r>
      <w:r w:rsidR="00DF58CB">
        <w:rPr>
          <w:rFonts w:ascii="Times New Roman" w:hAnsi="Times New Roman" w:cs="Times New Roman"/>
          <w:bCs/>
          <w:sz w:val="24"/>
          <w:szCs w:val="24"/>
        </w:rPr>
        <w:t xml:space="preserve"> matters for your </w:t>
      </w:r>
      <w:r w:rsidR="00C0283D">
        <w:rPr>
          <w:rFonts w:ascii="Times New Roman" w:hAnsi="Times New Roman" w:cs="Times New Roman"/>
          <w:bCs/>
          <w:sz w:val="24"/>
          <w:szCs w:val="24"/>
        </w:rPr>
        <w:t xml:space="preserve">overall </w:t>
      </w:r>
      <w:r w:rsidR="00DF58CB">
        <w:rPr>
          <w:rFonts w:ascii="Times New Roman" w:hAnsi="Times New Roman" w:cs="Times New Roman"/>
          <w:bCs/>
          <w:sz w:val="24"/>
          <w:szCs w:val="24"/>
        </w:rPr>
        <w:t>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6CB" w14:paraId="620294DE" w14:textId="77777777" w:rsidTr="0003594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C2B553D" w14:textId="73E62D79" w:rsidR="000866CB" w:rsidRPr="000866CB" w:rsidRDefault="00035942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6B7CF5" wp14:editId="6800FC7C">
                      <wp:simplePos x="0" y="0"/>
                      <wp:positionH relativeFrom="column">
                        <wp:posOffset>-75404</wp:posOffset>
                      </wp:positionH>
                      <wp:positionV relativeFrom="paragraph">
                        <wp:posOffset>-1971</wp:posOffset>
                      </wp:positionV>
                      <wp:extent cx="5929630" cy="4496937"/>
                      <wp:effectExtent l="0" t="0" r="13970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4496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2CA77" w14:textId="285C88CA" w:rsidR="00035942" w:rsidRDefault="00035942" w:rsidP="000359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B7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5pt;margin-top:-.15pt;width:466.9pt;height:35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" filled="f">
                      <v:textbox>
                        <w:txbxContent>
                          <w:p w14:paraId="09A2CA77" w14:textId="285C88CA" w:rsidR="00035942" w:rsidRDefault="00035942" w:rsidP="00035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B68C06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1087FD0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E938C1F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02CA715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E9383C6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D991D9E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335CA29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7D5C5C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5A55FA0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14D2809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2FB63E6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DC17CC1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21B9CF7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0605DCB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3E241EC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254092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683C500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2DB867E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530DBF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F11A87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019EF5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17787D2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9CD8AC6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3FF3B50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7F0B77B" w14:textId="77777777" w:rsidR="000866CB" w:rsidRPr="009E4423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F3F7F47" w14:textId="119338A4" w:rsidR="000866CB" w:rsidRPr="000866CB" w:rsidRDefault="000866CB" w:rsidP="00DD2F1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5A60846" w14:textId="71F12DB1" w:rsidR="008E4403" w:rsidRPr="00FD06EA" w:rsidRDefault="00984CD7" w:rsidP="008E440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>Growth</w:t>
      </w:r>
      <w:r w:rsidR="008E4403">
        <w:rPr>
          <w:rFonts w:ascii="Times New Roman" w:hAnsi="Times New Roman" w:cs="Times New Roman"/>
          <w:b/>
          <w:smallCaps/>
          <w:color w:val="990000"/>
          <w:sz w:val="32"/>
        </w:rPr>
        <w:t xml:space="preserve"> Stocks</w:t>
      </w:r>
    </w:p>
    <w:p w14:paraId="1D9827F8" w14:textId="494E83DA" w:rsidR="008E4403" w:rsidRDefault="008E4403" w:rsidP="00CD1D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A6">
        <w:rPr>
          <w:rFonts w:ascii="Times New Roman" w:hAnsi="Times New Roman" w:cs="Times New Roman"/>
          <w:bCs/>
          <w:sz w:val="24"/>
          <w:szCs w:val="24"/>
        </w:rPr>
        <w:t xml:space="preserve">Identify and buy three </w:t>
      </w:r>
      <w:r w:rsidR="00BB2EF0">
        <w:rPr>
          <w:rFonts w:ascii="Times New Roman" w:hAnsi="Times New Roman" w:cs="Times New Roman"/>
          <w:bCs/>
          <w:sz w:val="24"/>
          <w:szCs w:val="24"/>
        </w:rPr>
        <w:t>growth</w:t>
      </w:r>
      <w:r w:rsidRPr="00AE10A6">
        <w:rPr>
          <w:rFonts w:ascii="Times New Roman" w:hAnsi="Times New Roman" w:cs="Times New Roman"/>
          <w:bCs/>
          <w:sz w:val="24"/>
          <w:szCs w:val="24"/>
        </w:rPr>
        <w:t xml:space="preserve"> stocks</w:t>
      </w:r>
      <w:r w:rsidR="003F6497">
        <w:rPr>
          <w:rFonts w:ascii="Times New Roman" w:hAnsi="Times New Roman" w:cs="Times New Roman"/>
          <w:bCs/>
          <w:sz w:val="24"/>
          <w:szCs w:val="24"/>
        </w:rPr>
        <w:t xml:space="preserve"> in Stock|Trak</w:t>
      </w:r>
      <w:r w:rsidRPr="00AE10A6">
        <w:rPr>
          <w:rFonts w:ascii="Times New Roman" w:hAnsi="Times New Roman" w:cs="Times New Roman"/>
          <w:bCs/>
          <w:sz w:val="24"/>
          <w:szCs w:val="24"/>
        </w:rPr>
        <w:t xml:space="preserve">. Invest a minimum of $10,000 </w:t>
      </w:r>
      <w:r w:rsidR="00CD1D6F">
        <w:rPr>
          <w:rFonts w:ascii="Times New Roman" w:hAnsi="Times New Roman" w:cs="Times New Roman"/>
          <w:bCs/>
          <w:sz w:val="24"/>
          <w:szCs w:val="24"/>
        </w:rPr>
        <w:t>(but no more than $20,000)</w:t>
      </w:r>
      <w:r w:rsidR="00CD1D6F" w:rsidRPr="00AE1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0A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AE10A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each </w:t>
      </w:r>
      <w:r w:rsidR="003F649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stock</w:t>
      </w:r>
      <w:r>
        <w:rPr>
          <w:rFonts w:ascii="Times New Roman" w:hAnsi="Times New Roman" w:cs="Times New Roman"/>
          <w:bCs/>
          <w:sz w:val="24"/>
          <w:szCs w:val="24"/>
        </w:rPr>
        <w:t>. You will be required to hold these stocks until the end of the trading game, so choose carefully!</w:t>
      </w:r>
    </w:p>
    <w:p w14:paraId="714213F5" w14:textId="77777777" w:rsidR="008E4403" w:rsidRDefault="008E4403" w:rsidP="008E44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620"/>
        <w:gridCol w:w="2335"/>
      </w:tblGrid>
      <w:tr w:rsidR="00A37DA0" w14:paraId="54CAE34C" w14:textId="77777777" w:rsidTr="00A37DA0">
        <w:tc>
          <w:tcPr>
            <w:tcW w:w="3685" w:type="dxa"/>
          </w:tcPr>
          <w:p w14:paraId="71E95E17" w14:textId="77777777" w:rsidR="00A37DA0" w:rsidRPr="00A37DA0" w:rsidRDefault="00A37DA0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</w:p>
        </w:tc>
        <w:tc>
          <w:tcPr>
            <w:tcW w:w="1710" w:type="dxa"/>
          </w:tcPr>
          <w:p w14:paraId="20CB7B6A" w14:textId="77777777" w:rsidR="00A37DA0" w:rsidRPr="00A37DA0" w:rsidRDefault="00A37DA0" w:rsidP="00A37D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Amount Invested</w:t>
            </w:r>
          </w:p>
        </w:tc>
        <w:tc>
          <w:tcPr>
            <w:tcW w:w="1620" w:type="dxa"/>
          </w:tcPr>
          <w:p w14:paraId="394A4A14" w14:textId="77777777" w:rsidR="00A37DA0" w:rsidRPr="00A37DA0" w:rsidRDefault="00A37DA0" w:rsidP="00A37D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2335" w:type="dxa"/>
          </w:tcPr>
          <w:p w14:paraId="7208C06C" w14:textId="77777777" w:rsidR="00A37DA0" w:rsidRPr="00A37DA0" w:rsidRDefault="00A37DA0" w:rsidP="00A37D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A37DA0" w14:paraId="491C605E" w14:textId="77777777" w:rsidTr="00A37DA0">
        <w:tc>
          <w:tcPr>
            <w:tcW w:w="3685" w:type="dxa"/>
          </w:tcPr>
          <w:p w14:paraId="067EC264" w14:textId="1E931972" w:rsidR="00A37DA0" w:rsidRPr="00A37DA0" w:rsidRDefault="00A37DA0" w:rsidP="005B3C6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0.)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Westhampton Inc. (WHAM)</w:t>
            </w:r>
          </w:p>
        </w:tc>
        <w:tc>
          <w:tcPr>
            <w:tcW w:w="1710" w:type="dxa"/>
          </w:tcPr>
          <w:p w14:paraId="47F41965" w14:textId="25A3C2F9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$10,000</w:t>
            </w:r>
          </w:p>
        </w:tc>
        <w:tc>
          <w:tcPr>
            <w:tcW w:w="1620" w:type="dxa"/>
          </w:tcPr>
          <w:p w14:paraId="7A7F11D4" w14:textId="0C541795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$36.15</w:t>
            </w:r>
          </w:p>
        </w:tc>
        <w:tc>
          <w:tcPr>
            <w:tcW w:w="2335" w:type="dxa"/>
          </w:tcPr>
          <w:p w14:paraId="77DBDF8F" w14:textId="4203D4CC" w:rsidR="00A37DA0" w:rsidRPr="00A37DA0" w:rsidRDefault="00A37DA0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 xml:space="preserve">8/13/2022 @ 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10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:45am</w:t>
            </w:r>
          </w:p>
        </w:tc>
      </w:tr>
      <w:tr w:rsidR="00A37DA0" w14:paraId="6C74864E" w14:textId="77777777" w:rsidTr="00A37DA0">
        <w:tc>
          <w:tcPr>
            <w:tcW w:w="3685" w:type="dxa"/>
          </w:tcPr>
          <w:p w14:paraId="60A9D3E2" w14:textId="77777777" w:rsidR="00A37DA0" w:rsidRPr="009E4423" w:rsidRDefault="00A37DA0" w:rsidP="005B3C69">
            <w:pPr>
              <w:rPr>
                <w:rFonts w:ascii="Times New Roman" w:hAnsi="Times New Roman" w:cs="Times New Roman"/>
                <w:bCs/>
              </w:rPr>
            </w:pPr>
            <w:r w:rsidRPr="009E4423">
              <w:rPr>
                <w:rFonts w:ascii="Times New Roman" w:hAnsi="Times New Roman" w:cs="Times New Roman"/>
                <w:bCs/>
              </w:rPr>
              <w:t xml:space="preserve">1.) </w:t>
            </w:r>
          </w:p>
        </w:tc>
        <w:tc>
          <w:tcPr>
            <w:tcW w:w="1710" w:type="dxa"/>
          </w:tcPr>
          <w:p w14:paraId="6E3267DB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1EC725D6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</w:tcPr>
          <w:p w14:paraId="59033E29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7DA0" w14:paraId="3E2CB45D" w14:textId="77777777" w:rsidTr="00A37DA0">
        <w:tc>
          <w:tcPr>
            <w:tcW w:w="3685" w:type="dxa"/>
          </w:tcPr>
          <w:p w14:paraId="4D514F41" w14:textId="77777777" w:rsidR="00A37DA0" w:rsidRPr="009E4423" w:rsidRDefault="00A37DA0" w:rsidP="005B3C69">
            <w:pPr>
              <w:rPr>
                <w:rFonts w:ascii="Times New Roman" w:hAnsi="Times New Roman" w:cs="Times New Roman"/>
                <w:bCs/>
              </w:rPr>
            </w:pPr>
            <w:r w:rsidRPr="009E4423">
              <w:rPr>
                <w:rFonts w:ascii="Times New Roman" w:hAnsi="Times New Roman" w:cs="Times New Roman"/>
                <w:bCs/>
              </w:rPr>
              <w:t xml:space="preserve">2.) </w:t>
            </w:r>
          </w:p>
        </w:tc>
        <w:tc>
          <w:tcPr>
            <w:tcW w:w="1710" w:type="dxa"/>
          </w:tcPr>
          <w:p w14:paraId="435A4043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78602766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</w:tcPr>
          <w:p w14:paraId="1BD464D3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7DA0" w14:paraId="3E05A5C8" w14:textId="77777777" w:rsidTr="00A37DA0">
        <w:tc>
          <w:tcPr>
            <w:tcW w:w="3685" w:type="dxa"/>
          </w:tcPr>
          <w:p w14:paraId="54103916" w14:textId="77777777" w:rsidR="00A37DA0" w:rsidRPr="009E4423" w:rsidRDefault="00A37DA0" w:rsidP="005B3C69">
            <w:pPr>
              <w:rPr>
                <w:rFonts w:ascii="Times New Roman" w:hAnsi="Times New Roman" w:cs="Times New Roman"/>
                <w:bCs/>
              </w:rPr>
            </w:pPr>
            <w:r w:rsidRPr="009E4423">
              <w:rPr>
                <w:rFonts w:ascii="Times New Roman" w:hAnsi="Times New Roman" w:cs="Times New Roman"/>
                <w:bCs/>
              </w:rPr>
              <w:t xml:space="preserve">3.) </w:t>
            </w:r>
          </w:p>
        </w:tc>
        <w:tc>
          <w:tcPr>
            <w:tcW w:w="1710" w:type="dxa"/>
          </w:tcPr>
          <w:p w14:paraId="0D6AF103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5AACC8C5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</w:tcPr>
          <w:p w14:paraId="319F0EC0" w14:textId="77777777" w:rsidR="00A37DA0" w:rsidRPr="009E4423" w:rsidRDefault="00A37DA0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8A7078F" w14:textId="77777777" w:rsidR="00DF58CB" w:rsidRDefault="00DF58CB" w:rsidP="00DF58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EFCC1" w14:textId="58F59DA0" w:rsidR="008E4403" w:rsidRDefault="00DF58CB" w:rsidP="00DF58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0F1">
        <w:rPr>
          <w:rFonts w:ascii="Times New Roman" w:hAnsi="Times New Roman" w:cs="Times New Roman"/>
          <w:bCs/>
          <w:sz w:val="24"/>
          <w:szCs w:val="24"/>
        </w:rPr>
        <w:t>In the space below, provide your rationale for choosing these three stocks</w:t>
      </w:r>
      <w:r>
        <w:rPr>
          <w:rFonts w:ascii="Times New Roman" w:hAnsi="Times New Roman" w:cs="Times New Roman"/>
          <w:bCs/>
          <w:sz w:val="24"/>
          <w:szCs w:val="24"/>
        </w:rPr>
        <w:t xml:space="preserve"> (no more than 250 words total). Feel free to provide the </w:t>
      </w:r>
      <w:r w:rsidR="00C7088F">
        <w:rPr>
          <w:rFonts w:ascii="Times New Roman" w:hAnsi="Times New Roman" w:cs="Times New Roman"/>
          <w:bCs/>
          <w:sz w:val="24"/>
          <w:szCs w:val="24"/>
        </w:rPr>
        <w:t xml:space="preserve">WSJ </w:t>
      </w:r>
      <w:r>
        <w:rPr>
          <w:rFonts w:ascii="Times New Roman" w:hAnsi="Times New Roman" w:cs="Times New Roman"/>
          <w:bCs/>
          <w:sz w:val="24"/>
          <w:szCs w:val="24"/>
        </w:rPr>
        <w:t xml:space="preserve">articles or </w:t>
      </w:r>
      <w:r w:rsidR="00C7088F">
        <w:rPr>
          <w:rFonts w:ascii="Times New Roman" w:hAnsi="Times New Roman" w:cs="Times New Roman"/>
          <w:bCs/>
          <w:sz w:val="24"/>
          <w:szCs w:val="24"/>
        </w:rPr>
        <w:t xml:space="preserve">news </w:t>
      </w:r>
      <w:r>
        <w:rPr>
          <w:rFonts w:ascii="Times New Roman" w:hAnsi="Times New Roman" w:cs="Times New Roman"/>
          <w:bCs/>
          <w:sz w:val="24"/>
          <w:szCs w:val="24"/>
        </w:rPr>
        <w:t>sources that helped you arrive at your choice</w:t>
      </w:r>
      <w:r w:rsidR="006D47E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. Comment specifically on what makes these stocks “growth” stocks.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904" w14:paraId="30A0D07B" w14:textId="77777777" w:rsidTr="0003594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0FA5A30" w14:textId="1B16DC66" w:rsidR="00BB7904" w:rsidRPr="009E4423" w:rsidRDefault="00035942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C5467D" wp14:editId="108FC2FA">
                      <wp:simplePos x="0" y="0"/>
                      <wp:positionH relativeFrom="column">
                        <wp:posOffset>-64931</wp:posOffset>
                      </wp:positionH>
                      <wp:positionV relativeFrom="paragraph">
                        <wp:posOffset>-22443</wp:posOffset>
                      </wp:positionV>
                      <wp:extent cx="5929630" cy="4674358"/>
                      <wp:effectExtent l="0" t="0" r="13970" b="1206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4674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DF04B" w14:textId="77777777" w:rsidR="00035942" w:rsidRDefault="00035942" w:rsidP="000359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467D" id="Text Box 217" o:spid="_x0000_s1027" type="#_x0000_t202" style="position:absolute;left:0;text-align:left;margin-left:-5.1pt;margin-top:-1.75pt;width:466.9pt;height:36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" filled="f">
                      <v:textbox>
                        <w:txbxContent>
                          <w:p w14:paraId="262DF04B" w14:textId="77777777" w:rsidR="00035942" w:rsidRDefault="00035942" w:rsidP="00035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177BAA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BCFE715" w14:textId="5B2DC8F0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D47C6FD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ABB9CEB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5E5E01C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A9AC54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432FB2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6907301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C9B080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8ACD13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023337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8D5F53A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43DF04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A239E30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BF016DB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C083D65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C44DE52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59FCEA4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DDC8CC2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BF5BC32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DC7E79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327088B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575986B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18D807B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C364F3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B4D369C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B61C00" w14:textId="77777777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6629FFF" w14:textId="2C47784B" w:rsidR="00BB7904" w:rsidRPr="009E4423" w:rsidRDefault="00BB7904" w:rsidP="00DF5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03FBCC3" w14:textId="77777777" w:rsidR="00D10588" w:rsidRDefault="00D10588" w:rsidP="00FB1910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EB8BEB9" w14:textId="4E267672" w:rsidR="00D10588" w:rsidRDefault="00D10588" w:rsidP="00FB1910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57D39C0" w14:textId="2D723F55" w:rsidR="00E96058" w:rsidRPr="00E96058" w:rsidRDefault="00D10588" w:rsidP="00E96058">
      <w:pPr>
        <w:pStyle w:val="Footer"/>
        <w:ind w:left="63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58813DD" wp14:editId="7B4B2E50">
            <wp:simplePos x="0" y="0"/>
            <wp:positionH relativeFrom="column">
              <wp:posOffset>-30954</wp:posOffset>
            </wp:positionH>
            <wp:positionV relativeFrom="paragraph">
              <wp:posOffset>107798</wp:posOffset>
            </wp:positionV>
            <wp:extent cx="326390" cy="326390"/>
            <wp:effectExtent l="0" t="0" r="0" b="0"/>
            <wp:wrapTight wrapText="bothSides">
              <wp:wrapPolygon edited="0">
                <wp:start x="3782" y="0"/>
                <wp:lineTo x="1261" y="6304"/>
                <wp:lineTo x="1261" y="12607"/>
                <wp:lineTo x="3782" y="20171"/>
                <wp:lineTo x="17650" y="20171"/>
                <wp:lineTo x="18911" y="12607"/>
                <wp:lineTo x="18911" y="6304"/>
                <wp:lineTo x="16389" y="0"/>
                <wp:lineTo x="3782" y="0"/>
              </wp:wrapPolygon>
            </wp:wrapTight>
            <wp:docPr id="1" name="Graphic 1" descr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21C">
        <w:rPr>
          <w:rFonts w:ascii="Times New Roman" w:hAnsi="Times New Roman" w:cs="Times New Roman"/>
          <w:bCs/>
          <w:sz w:val="24"/>
          <w:szCs w:val="24"/>
        </w:rPr>
        <w:t xml:space="preserve">Do not </w:t>
      </w:r>
      <w:r w:rsidR="00E96058">
        <w:rPr>
          <w:rFonts w:ascii="Times New Roman" w:hAnsi="Times New Roman" w:cs="Times New Roman"/>
          <w:bCs/>
          <w:sz w:val="24"/>
          <w:szCs w:val="24"/>
        </w:rPr>
        <w:t>sell out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these positions until the semester is over. These stocks are meant to represent the “core” of your portfolio.</w:t>
      </w:r>
      <w:r w:rsidR="00E96058">
        <w:rPr>
          <w:rFonts w:ascii="Times New Roman" w:hAnsi="Times New Roman" w:cs="Times New Roman"/>
          <w:bCs/>
          <w:sz w:val="24"/>
          <w:szCs w:val="24"/>
        </w:rPr>
        <w:t xml:space="preserve"> You can always buy </w:t>
      </w:r>
      <w:r w:rsidR="00E96058">
        <w:rPr>
          <w:rFonts w:ascii="Times New Roman" w:hAnsi="Times New Roman" w:cs="Times New Roman"/>
          <w:bCs/>
          <w:i/>
          <w:sz w:val="24"/>
          <w:szCs w:val="24"/>
        </w:rPr>
        <w:t>more</w:t>
      </w:r>
      <w:r w:rsidR="00E96058">
        <w:rPr>
          <w:rFonts w:ascii="Times New Roman" w:hAnsi="Times New Roman" w:cs="Times New Roman"/>
          <w:bCs/>
          <w:sz w:val="24"/>
          <w:szCs w:val="24"/>
        </w:rPr>
        <w:t xml:space="preserve"> shares of these 6 stocks, but you cannot sell out of </w:t>
      </w:r>
      <w:r w:rsidR="004544C7">
        <w:rPr>
          <w:rFonts w:ascii="Times New Roman" w:hAnsi="Times New Roman" w:cs="Times New Roman"/>
          <w:bCs/>
          <w:sz w:val="24"/>
          <w:szCs w:val="24"/>
        </w:rPr>
        <w:t xml:space="preserve">your original position in </w:t>
      </w:r>
      <w:r w:rsidR="00E96058">
        <w:rPr>
          <w:rFonts w:ascii="Times New Roman" w:hAnsi="Times New Roman" w:cs="Times New Roman"/>
          <w:bCs/>
          <w:sz w:val="24"/>
          <w:szCs w:val="24"/>
        </w:rPr>
        <w:t>these 6 stocks.</w:t>
      </w:r>
      <w:r w:rsidR="00E9605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14:paraId="0DF5B10B" w14:textId="77777777" w:rsidR="00E96058" w:rsidRDefault="00E96058" w:rsidP="00E96058">
      <w:pPr>
        <w:pStyle w:val="Footer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2EA0FB" w14:textId="77777777" w:rsidR="00E96058" w:rsidRDefault="00E96058" w:rsidP="00E96058">
      <w:pPr>
        <w:pStyle w:val="Footer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2117B" w14:textId="77777777" w:rsidR="004F7D74" w:rsidRDefault="004F7D74" w:rsidP="00FB1910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30D3D7C" w14:textId="45555C6C" w:rsidR="00BB7904" w:rsidRPr="00B477D7" w:rsidRDefault="00FB1910" w:rsidP="004F7D7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 w:rsidRPr="00DA28F7">
        <w:rPr>
          <w:rFonts w:ascii="Times New Roman" w:hAnsi="Times New Roman" w:cs="Times New Roman"/>
          <w:i/>
          <w:iCs/>
          <w:sz w:val="20"/>
          <w:szCs w:val="20"/>
        </w:rPr>
        <w:t xml:space="preserve">Submit according to the instructions provided in class. </w:t>
      </w:r>
      <w:r>
        <w:rPr>
          <w:rFonts w:ascii="Times New Roman" w:hAnsi="Times New Roman" w:cs="Times New Roman"/>
          <w:i/>
          <w:iCs/>
          <w:sz w:val="20"/>
          <w:szCs w:val="20"/>
        </w:rPr>
        <w:t>Grades will be provided after all Trading Assignments are completed near the end of the semester.</w:t>
      </w:r>
    </w:p>
    <w:sectPr w:rsidR="00BB7904" w:rsidRPr="00B477D7" w:rsidSect="00485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AB89" w14:textId="77777777" w:rsidR="00713714" w:rsidRDefault="00713714" w:rsidP="009569D3">
      <w:pPr>
        <w:spacing w:after="0" w:line="240" w:lineRule="auto"/>
      </w:pPr>
      <w:r>
        <w:separator/>
      </w:r>
    </w:p>
  </w:endnote>
  <w:endnote w:type="continuationSeparator" w:id="0">
    <w:p w14:paraId="0C86E411" w14:textId="77777777" w:rsidR="00713714" w:rsidRDefault="00713714" w:rsidP="009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5BD3" w14:textId="77777777" w:rsidR="00DA11BF" w:rsidRDefault="00DA1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4B52" w14:textId="77777777" w:rsidR="00DA11BF" w:rsidRDefault="00DA1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AB5" w14:textId="77777777" w:rsidR="00DA11BF" w:rsidRDefault="00DA1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5B12" w14:textId="77777777" w:rsidR="00713714" w:rsidRDefault="00713714" w:rsidP="009569D3">
      <w:pPr>
        <w:spacing w:after="0" w:line="240" w:lineRule="auto"/>
      </w:pPr>
      <w:r>
        <w:separator/>
      </w:r>
    </w:p>
  </w:footnote>
  <w:footnote w:type="continuationSeparator" w:id="0">
    <w:p w14:paraId="11CD4D9B" w14:textId="77777777" w:rsidR="00713714" w:rsidRDefault="00713714" w:rsidP="0095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B490" w14:textId="77777777" w:rsidR="00DA11BF" w:rsidRDefault="00DA1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BC2D" w14:textId="77777777" w:rsidR="00DA11BF" w:rsidRDefault="00DA1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C8D7" w14:textId="72D044F4" w:rsidR="0033570B" w:rsidRPr="0033570B" w:rsidRDefault="0033570B">
    <w:pPr>
      <w:pStyle w:val="Header"/>
      <w:rPr>
        <w:rFonts w:ascii="Arial" w:hAnsi="Arial" w:cs="Arial"/>
      </w:rPr>
    </w:pPr>
    <w:r w:rsidRPr="0033570B">
      <w:rPr>
        <w:rFonts w:ascii="Arial" w:hAnsi="Arial" w:cs="Arial"/>
      </w:rPr>
      <w:t>Name:</w:t>
    </w:r>
    <w:r w:rsidR="00DA11BF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27FD0"/>
    <w:rsid w:val="00035942"/>
    <w:rsid w:val="0005639D"/>
    <w:rsid w:val="0007253A"/>
    <w:rsid w:val="000750D7"/>
    <w:rsid w:val="00075BB5"/>
    <w:rsid w:val="00084D79"/>
    <w:rsid w:val="000866CB"/>
    <w:rsid w:val="00094BF2"/>
    <w:rsid w:val="000B1EBA"/>
    <w:rsid w:val="000C5454"/>
    <w:rsid w:val="000D24B0"/>
    <w:rsid w:val="000D48FC"/>
    <w:rsid w:val="000E2CF9"/>
    <w:rsid w:val="000E3F7B"/>
    <w:rsid w:val="000F7ECE"/>
    <w:rsid w:val="00100E2D"/>
    <w:rsid w:val="001031BC"/>
    <w:rsid w:val="001100C4"/>
    <w:rsid w:val="001217C7"/>
    <w:rsid w:val="0013572C"/>
    <w:rsid w:val="00136E53"/>
    <w:rsid w:val="001425D4"/>
    <w:rsid w:val="00151262"/>
    <w:rsid w:val="0016289C"/>
    <w:rsid w:val="00181A75"/>
    <w:rsid w:val="00194C16"/>
    <w:rsid w:val="001A170F"/>
    <w:rsid w:val="001A540E"/>
    <w:rsid w:val="001A74FB"/>
    <w:rsid w:val="001B0F86"/>
    <w:rsid w:val="001B6460"/>
    <w:rsid w:val="001D50AA"/>
    <w:rsid w:val="001E0546"/>
    <w:rsid w:val="001E0BB3"/>
    <w:rsid w:val="001E197B"/>
    <w:rsid w:val="001E4C56"/>
    <w:rsid w:val="001F16A0"/>
    <w:rsid w:val="001F2297"/>
    <w:rsid w:val="001F789B"/>
    <w:rsid w:val="00201BF9"/>
    <w:rsid w:val="0022403C"/>
    <w:rsid w:val="0023634B"/>
    <w:rsid w:val="00254F30"/>
    <w:rsid w:val="00256FC5"/>
    <w:rsid w:val="0026341C"/>
    <w:rsid w:val="002724DB"/>
    <w:rsid w:val="00284CB4"/>
    <w:rsid w:val="00291488"/>
    <w:rsid w:val="002B0743"/>
    <w:rsid w:val="002B33E3"/>
    <w:rsid w:val="002B33E6"/>
    <w:rsid w:val="002C2611"/>
    <w:rsid w:val="002D1840"/>
    <w:rsid w:val="002D68AC"/>
    <w:rsid w:val="002E4780"/>
    <w:rsid w:val="002E5281"/>
    <w:rsid w:val="002F3681"/>
    <w:rsid w:val="0030031C"/>
    <w:rsid w:val="003011F3"/>
    <w:rsid w:val="00303CAE"/>
    <w:rsid w:val="00303E12"/>
    <w:rsid w:val="00304B7E"/>
    <w:rsid w:val="00312684"/>
    <w:rsid w:val="0033570B"/>
    <w:rsid w:val="0033748A"/>
    <w:rsid w:val="00342AA7"/>
    <w:rsid w:val="00344F54"/>
    <w:rsid w:val="0034762B"/>
    <w:rsid w:val="003757DB"/>
    <w:rsid w:val="00385692"/>
    <w:rsid w:val="0039670D"/>
    <w:rsid w:val="003A1787"/>
    <w:rsid w:val="003B566F"/>
    <w:rsid w:val="003B6C1F"/>
    <w:rsid w:val="003C0AB5"/>
    <w:rsid w:val="003F1D04"/>
    <w:rsid w:val="003F6497"/>
    <w:rsid w:val="003F7C48"/>
    <w:rsid w:val="00400DB5"/>
    <w:rsid w:val="00402E51"/>
    <w:rsid w:val="00410D35"/>
    <w:rsid w:val="004244DC"/>
    <w:rsid w:val="00427ADB"/>
    <w:rsid w:val="00432F14"/>
    <w:rsid w:val="00434C7D"/>
    <w:rsid w:val="00451DCF"/>
    <w:rsid w:val="004544C7"/>
    <w:rsid w:val="00457546"/>
    <w:rsid w:val="004730B2"/>
    <w:rsid w:val="004759F9"/>
    <w:rsid w:val="00485283"/>
    <w:rsid w:val="00490E35"/>
    <w:rsid w:val="004B46CD"/>
    <w:rsid w:val="004B690D"/>
    <w:rsid w:val="004B6E9B"/>
    <w:rsid w:val="004D0FA6"/>
    <w:rsid w:val="004D2CDB"/>
    <w:rsid w:val="004F28CA"/>
    <w:rsid w:val="004F2DC9"/>
    <w:rsid w:val="004F4DC4"/>
    <w:rsid w:val="004F7D74"/>
    <w:rsid w:val="0051569D"/>
    <w:rsid w:val="00521F1E"/>
    <w:rsid w:val="00525F31"/>
    <w:rsid w:val="00531ECC"/>
    <w:rsid w:val="005534E6"/>
    <w:rsid w:val="00555E26"/>
    <w:rsid w:val="005578BF"/>
    <w:rsid w:val="00567D1A"/>
    <w:rsid w:val="00574D8E"/>
    <w:rsid w:val="00586BB9"/>
    <w:rsid w:val="005D64E9"/>
    <w:rsid w:val="005E1BCB"/>
    <w:rsid w:val="00611EA5"/>
    <w:rsid w:val="006139A5"/>
    <w:rsid w:val="00623C20"/>
    <w:rsid w:val="00626BE4"/>
    <w:rsid w:val="00627904"/>
    <w:rsid w:val="00633B70"/>
    <w:rsid w:val="00640F32"/>
    <w:rsid w:val="00661589"/>
    <w:rsid w:val="00665A6B"/>
    <w:rsid w:val="00683ECE"/>
    <w:rsid w:val="006872E9"/>
    <w:rsid w:val="006A1BD0"/>
    <w:rsid w:val="006D47E1"/>
    <w:rsid w:val="006D746D"/>
    <w:rsid w:val="006E505D"/>
    <w:rsid w:val="006F6F74"/>
    <w:rsid w:val="007049AD"/>
    <w:rsid w:val="00713714"/>
    <w:rsid w:val="00715727"/>
    <w:rsid w:val="00715F28"/>
    <w:rsid w:val="00716FC5"/>
    <w:rsid w:val="007237FE"/>
    <w:rsid w:val="00732949"/>
    <w:rsid w:val="0073567F"/>
    <w:rsid w:val="007524DA"/>
    <w:rsid w:val="00754BBB"/>
    <w:rsid w:val="00755026"/>
    <w:rsid w:val="00771440"/>
    <w:rsid w:val="00782F1E"/>
    <w:rsid w:val="00783F87"/>
    <w:rsid w:val="007907CB"/>
    <w:rsid w:val="007A3B9F"/>
    <w:rsid w:val="007A6CAA"/>
    <w:rsid w:val="007B7EB3"/>
    <w:rsid w:val="007F0CFE"/>
    <w:rsid w:val="00803623"/>
    <w:rsid w:val="00804102"/>
    <w:rsid w:val="00806B23"/>
    <w:rsid w:val="0081654F"/>
    <w:rsid w:val="00816A84"/>
    <w:rsid w:val="00823F93"/>
    <w:rsid w:val="008270F1"/>
    <w:rsid w:val="00840EBE"/>
    <w:rsid w:val="00841C11"/>
    <w:rsid w:val="00856950"/>
    <w:rsid w:val="008606DA"/>
    <w:rsid w:val="00860F60"/>
    <w:rsid w:val="00866272"/>
    <w:rsid w:val="00871FAB"/>
    <w:rsid w:val="00893744"/>
    <w:rsid w:val="008A278A"/>
    <w:rsid w:val="008A485A"/>
    <w:rsid w:val="008B3757"/>
    <w:rsid w:val="008B5223"/>
    <w:rsid w:val="008C2C35"/>
    <w:rsid w:val="008D5295"/>
    <w:rsid w:val="008D54CB"/>
    <w:rsid w:val="008E4403"/>
    <w:rsid w:val="008E6815"/>
    <w:rsid w:val="008F4591"/>
    <w:rsid w:val="008F6CCD"/>
    <w:rsid w:val="00913E3F"/>
    <w:rsid w:val="00925D9A"/>
    <w:rsid w:val="009266DD"/>
    <w:rsid w:val="00927A70"/>
    <w:rsid w:val="009472FE"/>
    <w:rsid w:val="009541FD"/>
    <w:rsid w:val="00954718"/>
    <w:rsid w:val="009569D3"/>
    <w:rsid w:val="009621AA"/>
    <w:rsid w:val="009645C9"/>
    <w:rsid w:val="00965E59"/>
    <w:rsid w:val="00984CD7"/>
    <w:rsid w:val="009921EE"/>
    <w:rsid w:val="009B11CB"/>
    <w:rsid w:val="009B2E66"/>
    <w:rsid w:val="009E22A5"/>
    <w:rsid w:val="009E4423"/>
    <w:rsid w:val="009F1431"/>
    <w:rsid w:val="00A23F2B"/>
    <w:rsid w:val="00A32E04"/>
    <w:rsid w:val="00A37DA0"/>
    <w:rsid w:val="00A4504B"/>
    <w:rsid w:val="00A602B8"/>
    <w:rsid w:val="00A61288"/>
    <w:rsid w:val="00A645B7"/>
    <w:rsid w:val="00A70D74"/>
    <w:rsid w:val="00A7170D"/>
    <w:rsid w:val="00A7211B"/>
    <w:rsid w:val="00A75838"/>
    <w:rsid w:val="00A760E6"/>
    <w:rsid w:val="00AB59B9"/>
    <w:rsid w:val="00AD37C7"/>
    <w:rsid w:val="00AE10A6"/>
    <w:rsid w:val="00AF5BA4"/>
    <w:rsid w:val="00B1676F"/>
    <w:rsid w:val="00B23816"/>
    <w:rsid w:val="00B3342F"/>
    <w:rsid w:val="00B42F3F"/>
    <w:rsid w:val="00B4407A"/>
    <w:rsid w:val="00B477D7"/>
    <w:rsid w:val="00B51661"/>
    <w:rsid w:val="00B56316"/>
    <w:rsid w:val="00B764DA"/>
    <w:rsid w:val="00B963D2"/>
    <w:rsid w:val="00BB2EF0"/>
    <w:rsid w:val="00BB2F0A"/>
    <w:rsid w:val="00BB3C69"/>
    <w:rsid w:val="00BB5926"/>
    <w:rsid w:val="00BB7904"/>
    <w:rsid w:val="00BD522A"/>
    <w:rsid w:val="00BE32D8"/>
    <w:rsid w:val="00BE5634"/>
    <w:rsid w:val="00BF4A91"/>
    <w:rsid w:val="00C0283D"/>
    <w:rsid w:val="00C370E0"/>
    <w:rsid w:val="00C41204"/>
    <w:rsid w:val="00C452D0"/>
    <w:rsid w:val="00C508C4"/>
    <w:rsid w:val="00C7088F"/>
    <w:rsid w:val="00C8113D"/>
    <w:rsid w:val="00C822FA"/>
    <w:rsid w:val="00C8624B"/>
    <w:rsid w:val="00CA5DBA"/>
    <w:rsid w:val="00CC4EA6"/>
    <w:rsid w:val="00CC6D7E"/>
    <w:rsid w:val="00CD1D6F"/>
    <w:rsid w:val="00CE23E7"/>
    <w:rsid w:val="00CF2FF5"/>
    <w:rsid w:val="00CF3277"/>
    <w:rsid w:val="00D00A9B"/>
    <w:rsid w:val="00D10588"/>
    <w:rsid w:val="00D33040"/>
    <w:rsid w:val="00D55EBA"/>
    <w:rsid w:val="00D60ADE"/>
    <w:rsid w:val="00D75572"/>
    <w:rsid w:val="00D80E1F"/>
    <w:rsid w:val="00DA11BF"/>
    <w:rsid w:val="00DA2073"/>
    <w:rsid w:val="00DA28F7"/>
    <w:rsid w:val="00DA3603"/>
    <w:rsid w:val="00DA4736"/>
    <w:rsid w:val="00DA53A0"/>
    <w:rsid w:val="00DB2148"/>
    <w:rsid w:val="00DB7585"/>
    <w:rsid w:val="00DD1962"/>
    <w:rsid w:val="00DD2F14"/>
    <w:rsid w:val="00DE4A2B"/>
    <w:rsid w:val="00DF58CB"/>
    <w:rsid w:val="00E20A36"/>
    <w:rsid w:val="00E25FB7"/>
    <w:rsid w:val="00E46D02"/>
    <w:rsid w:val="00E558FD"/>
    <w:rsid w:val="00E73879"/>
    <w:rsid w:val="00E75180"/>
    <w:rsid w:val="00E75BA4"/>
    <w:rsid w:val="00E82F6B"/>
    <w:rsid w:val="00E96058"/>
    <w:rsid w:val="00EA022E"/>
    <w:rsid w:val="00EA4BF5"/>
    <w:rsid w:val="00EA5C4A"/>
    <w:rsid w:val="00EB4E63"/>
    <w:rsid w:val="00ED13BA"/>
    <w:rsid w:val="00F05909"/>
    <w:rsid w:val="00F22816"/>
    <w:rsid w:val="00F23B24"/>
    <w:rsid w:val="00F27F9D"/>
    <w:rsid w:val="00F3560C"/>
    <w:rsid w:val="00F369A7"/>
    <w:rsid w:val="00F37751"/>
    <w:rsid w:val="00F37A2E"/>
    <w:rsid w:val="00F441E5"/>
    <w:rsid w:val="00F52668"/>
    <w:rsid w:val="00F56064"/>
    <w:rsid w:val="00F560C0"/>
    <w:rsid w:val="00F72B7A"/>
    <w:rsid w:val="00F859A6"/>
    <w:rsid w:val="00F92C3E"/>
    <w:rsid w:val="00FA0158"/>
    <w:rsid w:val="00FA38CD"/>
    <w:rsid w:val="00FA5066"/>
    <w:rsid w:val="00FB1910"/>
    <w:rsid w:val="00FC4B0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240A-7F44-4723-AB6A-3C9139F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Joseph</cp:lastModifiedBy>
  <cp:revision>79</cp:revision>
  <dcterms:created xsi:type="dcterms:W3CDTF">2022-05-31T20:47:00Z</dcterms:created>
  <dcterms:modified xsi:type="dcterms:W3CDTF">2022-08-25T01:00:00Z</dcterms:modified>
</cp:coreProperties>
</file>