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779F" w14:textId="3DA50154" w:rsidR="00BB2F0A" w:rsidRPr="00CF4256" w:rsidRDefault="00084D79" w:rsidP="00084D79">
      <w:pPr>
        <w:tabs>
          <w:tab w:val="left" w:pos="1477"/>
        </w:tabs>
        <w:rPr>
          <w:rFonts w:ascii="Times New Roman" w:hAnsi="Times New Roman" w:cs="Times New Roman"/>
          <w:b/>
          <w:smallCaps/>
          <w:color w:val="000000" w:themeColor="text1"/>
          <w:sz w:val="4"/>
          <w:szCs w:val="24"/>
        </w:rPr>
      </w:pPr>
      <w:r w:rsidRPr="00CF4256">
        <w:rPr>
          <w:rFonts w:ascii="Times New Roman" w:hAnsi="Times New Roman" w:cs="Times New Roman"/>
          <w:color w:val="000000" w:themeColor="text1"/>
          <w:sz w:val="40"/>
        </w:rPr>
        <w:tab/>
      </w:r>
      <w:r w:rsidR="00220EAA" w:rsidRPr="00CF4256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>Trading Assignment 3</w:t>
      </w:r>
    </w:p>
    <w:p w14:paraId="695A8E27" w14:textId="039CFB67" w:rsidR="00BB2F0A" w:rsidRPr="00FD06EA" w:rsidRDefault="00003AD7" w:rsidP="00BB2F0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bookmarkStart w:id="0" w:name="_Hlk92111763"/>
      <w:bookmarkStart w:id="1" w:name="_Hlk105744409"/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Updates On </w:t>
      </w:r>
      <w:r w:rsidR="00CF4256">
        <w:rPr>
          <w:rFonts w:ascii="Times New Roman" w:hAnsi="Times New Roman" w:cs="Times New Roman"/>
          <w:b/>
          <w:smallCaps/>
          <w:color w:val="990000"/>
          <w:sz w:val="32"/>
        </w:rPr>
        <w:t xml:space="preserve">Your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Portfolio</w:t>
      </w:r>
    </w:p>
    <w:bookmarkEnd w:id="0"/>
    <w:p w14:paraId="630EA943" w14:textId="6AAE3256" w:rsidR="00003AD7" w:rsidRDefault="00D64D7F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each of the price-contingent orders</w:t>
      </w:r>
      <w:r w:rsidR="0055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3FC">
        <w:rPr>
          <w:rFonts w:ascii="Times New Roman" w:hAnsi="Times New Roman" w:cs="Times New Roman"/>
          <w:bCs/>
          <w:sz w:val="24"/>
          <w:szCs w:val="24"/>
        </w:rPr>
        <w:t>you placed as part of Trading Assignment 2</w:t>
      </w:r>
      <w:r w:rsidR="00472C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540C">
        <w:rPr>
          <w:rFonts w:ascii="Times New Roman" w:hAnsi="Times New Roman" w:cs="Times New Roman"/>
          <w:bCs/>
          <w:sz w:val="24"/>
          <w:szCs w:val="24"/>
        </w:rPr>
        <w:t>check Stock|Trak to determine whether or n</w:t>
      </w:r>
      <w:r w:rsidR="00472C52">
        <w:rPr>
          <w:rFonts w:ascii="Times New Roman" w:hAnsi="Times New Roman" w:cs="Times New Roman"/>
          <w:bCs/>
          <w:sz w:val="24"/>
          <w:szCs w:val="24"/>
        </w:rPr>
        <w:t>ot the order was executed.</w:t>
      </w:r>
      <w:r w:rsidR="001E0084">
        <w:rPr>
          <w:rFonts w:ascii="Times New Roman" w:hAnsi="Times New Roman" w:cs="Times New Roman"/>
          <w:bCs/>
          <w:sz w:val="24"/>
          <w:szCs w:val="24"/>
        </w:rPr>
        <w:t xml:space="preserve"> Check your previous assignment to see what your original order prices were</w:t>
      </w:r>
      <w:r w:rsidR="00CF1041">
        <w:rPr>
          <w:rFonts w:ascii="Times New Roman" w:hAnsi="Times New Roman" w:cs="Times New Roman"/>
          <w:bCs/>
          <w:sz w:val="24"/>
          <w:szCs w:val="24"/>
        </w:rPr>
        <w:t>, and 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295"/>
        <w:gridCol w:w="1870"/>
        <w:gridCol w:w="1870"/>
      </w:tblGrid>
      <w:tr w:rsidR="0055540C" w:rsidRPr="005C20E7" w14:paraId="2162653D" w14:textId="77777777" w:rsidTr="00983EE3">
        <w:tc>
          <w:tcPr>
            <w:tcW w:w="1870" w:type="dxa"/>
          </w:tcPr>
          <w:p w14:paraId="6D8250A7" w14:textId="77777777" w:rsidR="0055540C" w:rsidRPr="005C20E7" w:rsidRDefault="005554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</w:tcPr>
          <w:p w14:paraId="3B5D03B0" w14:textId="4D4DB04C" w:rsidR="0055540C" w:rsidRPr="005C20E7" w:rsidRDefault="0055540C" w:rsidP="00983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0E7">
              <w:rPr>
                <w:rFonts w:ascii="Times New Roman" w:hAnsi="Times New Roman" w:cs="Times New Roman"/>
                <w:b/>
                <w:bCs/>
              </w:rPr>
              <w:t>Stock Ticker</w:t>
            </w:r>
          </w:p>
        </w:tc>
        <w:tc>
          <w:tcPr>
            <w:tcW w:w="1295" w:type="dxa"/>
          </w:tcPr>
          <w:p w14:paraId="7A635BDD" w14:textId="058FE8E2" w:rsidR="0055540C" w:rsidRPr="005C20E7" w:rsidRDefault="0055540C" w:rsidP="00983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0E7">
              <w:rPr>
                <w:rFonts w:ascii="Times New Roman" w:hAnsi="Times New Roman" w:cs="Times New Roman"/>
                <w:b/>
                <w:bCs/>
              </w:rPr>
              <w:t>Executed? (Yes/No)</w:t>
            </w:r>
          </w:p>
        </w:tc>
        <w:tc>
          <w:tcPr>
            <w:tcW w:w="1870" w:type="dxa"/>
          </w:tcPr>
          <w:p w14:paraId="50C820D3" w14:textId="02162F0C" w:rsidR="0055540C" w:rsidRPr="005C20E7" w:rsidRDefault="0055540C" w:rsidP="00983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0E7">
              <w:rPr>
                <w:rFonts w:ascii="Times New Roman" w:hAnsi="Times New Roman" w:cs="Times New Roman"/>
                <w:b/>
                <w:bCs/>
              </w:rPr>
              <w:t xml:space="preserve">Original </w:t>
            </w:r>
            <w:r w:rsidR="00983EE3" w:rsidRPr="005C20E7">
              <w:rPr>
                <w:rFonts w:ascii="Times New Roman" w:hAnsi="Times New Roman" w:cs="Times New Roman"/>
                <w:b/>
                <w:bCs/>
              </w:rPr>
              <w:t>O</w:t>
            </w:r>
            <w:r w:rsidRPr="005C20E7">
              <w:rPr>
                <w:rFonts w:ascii="Times New Roman" w:hAnsi="Times New Roman" w:cs="Times New Roman"/>
                <w:b/>
                <w:bCs/>
              </w:rPr>
              <w:t>rder Price per Share</w:t>
            </w:r>
          </w:p>
        </w:tc>
        <w:tc>
          <w:tcPr>
            <w:tcW w:w="1870" w:type="dxa"/>
          </w:tcPr>
          <w:p w14:paraId="28A01C17" w14:textId="283CB829" w:rsidR="0055540C" w:rsidRPr="005C20E7" w:rsidRDefault="0055540C" w:rsidP="00983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0E7">
              <w:rPr>
                <w:rFonts w:ascii="Times New Roman" w:hAnsi="Times New Roman" w:cs="Times New Roman"/>
                <w:b/>
                <w:bCs/>
              </w:rPr>
              <w:t>Stock’s Current Price</w:t>
            </w:r>
          </w:p>
        </w:tc>
      </w:tr>
      <w:tr w:rsidR="0055540C" w:rsidRPr="005C20E7" w14:paraId="16917E0E" w14:textId="77777777" w:rsidTr="00983EE3">
        <w:tc>
          <w:tcPr>
            <w:tcW w:w="1870" w:type="dxa"/>
          </w:tcPr>
          <w:p w14:paraId="56D2A88E" w14:textId="0AA65779" w:rsidR="0055540C" w:rsidRPr="005C20E7" w:rsidRDefault="00983EE3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Buy Stop Order</w:t>
            </w:r>
          </w:p>
        </w:tc>
        <w:tc>
          <w:tcPr>
            <w:tcW w:w="2445" w:type="dxa"/>
          </w:tcPr>
          <w:p w14:paraId="6A992FCB" w14:textId="1CC79B73" w:rsidR="0055540C" w:rsidRPr="005C20E7" w:rsidRDefault="004937F4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</w:t>
            </w:r>
          </w:p>
        </w:tc>
        <w:tc>
          <w:tcPr>
            <w:tcW w:w="1295" w:type="dxa"/>
          </w:tcPr>
          <w:p w14:paraId="11CB6148" w14:textId="1D00EFCA" w:rsidR="0055540C" w:rsidRPr="005C20E7" w:rsidRDefault="00983EE3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Yes</w:t>
            </w:r>
          </w:p>
        </w:tc>
        <w:tc>
          <w:tcPr>
            <w:tcW w:w="1870" w:type="dxa"/>
          </w:tcPr>
          <w:p w14:paraId="425FB52A" w14:textId="0B8EAEEC" w:rsidR="0055540C" w:rsidRPr="005C20E7" w:rsidRDefault="00983EE3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$250</w:t>
            </w:r>
          </w:p>
        </w:tc>
        <w:tc>
          <w:tcPr>
            <w:tcW w:w="1870" w:type="dxa"/>
          </w:tcPr>
          <w:p w14:paraId="6CB5D3F6" w14:textId="07F47AD9" w:rsidR="0055540C" w:rsidRPr="005C20E7" w:rsidRDefault="00983EE3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$286.21</w:t>
            </w:r>
          </w:p>
        </w:tc>
      </w:tr>
      <w:tr w:rsidR="004937F4" w:rsidRPr="005C20E7" w14:paraId="7C257581" w14:textId="77777777" w:rsidTr="00983EE3">
        <w:tc>
          <w:tcPr>
            <w:tcW w:w="1870" w:type="dxa"/>
          </w:tcPr>
          <w:p w14:paraId="00F91F10" w14:textId="601AF268" w:rsidR="004937F4" w:rsidRPr="005C20E7" w:rsidRDefault="004937F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Sell Stop Order</w:t>
            </w:r>
          </w:p>
        </w:tc>
        <w:tc>
          <w:tcPr>
            <w:tcW w:w="2445" w:type="dxa"/>
          </w:tcPr>
          <w:p w14:paraId="70294E93" w14:textId="6D1FFD84" w:rsidR="004937F4" w:rsidRPr="005C20E7" w:rsidRDefault="004937F4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WHAM</w:t>
            </w:r>
          </w:p>
        </w:tc>
        <w:tc>
          <w:tcPr>
            <w:tcW w:w="1295" w:type="dxa"/>
          </w:tcPr>
          <w:p w14:paraId="7BB84C38" w14:textId="5F9B7E93" w:rsidR="004937F4" w:rsidRPr="005C20E7" w:rsidRDefault="004937F4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Yes</w:t>
            </w:r>
          </w:p>
        </w:tc>
        <w:tc>
          <w:tcPr>
            <w:tcW w:w="1870" w:type="dxa"/>
          </w:tcPr>
          <w:p w14:paraId="6850FE99" w14:textId="1AB86F65" w:rsidR="004937F4" w:rsidRPr="005C20E7" w:rsidRDefault="001E0084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$300</w:t>
            </w:r>
          </w:p>
        </w:tc>
        <w:tc>
          <w:tcPr>
            <w:tcW w:w="1870" w:type="dxa"/>
          </w:tcPr>
          <w:p w14:paraId="06440FF9" w14:textId="6C0B6291" w:rsidR="004937F4" w:rsidRPr="005C20E7" w:rsidRDefault="001E0084" w:rsidP="004937F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5C20E7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$335</w:t>
            </w:r>
          </w:p>
        </w:tc>
      </w:tr>
      <w:tr w:rsidR="0055540C" w:rsidRPr="005C20E7" w14:paraId="7F8C4D10" w14:textId="77777777" w:rsidTr="00983EE3">
        <w:tc>
          <w:tcPr>
            <w:tcW w:w="1870" w:type="dxa"/>
          </w:tcPr>
          <w:p w14:paraId="669D91F6" w14:textId="34E7986D" w:rsidR="0055540C" w:rsidRPr="005C20E7" w:rsidRDefault="0055540C" w:rsidP="0055540C">
            <w:pPr>
              <w:rPr>
                <w:rFonts w:ascii="Times New Roman" w:hAnsi="Times New Roman" w:cs="Times New Roman"/>
                <w:bCs/>
              </w:rPr>
            </w:pPr>
            <w:r w:rsidRPr="005C20E7">
              <w:rPr>
                <w:rFonts w:ascii="Times New Roman" w:hAnsi="Times New Roman" w:cs="Times New Roman"/>
                <w:bCs/>
              </w:rPr>
              <w:t>Buy Stop Order</w:t>
            </w:r>
          </w:p>
        </w:tc>
        <w:tc>
          <w:tcPr>
            <w:tcW w:w="2445" w:type="dxa"/>
          </w:tcPr>
          <w:p w14:paraId="45F57105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14:paraId="73FDA0CF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640F16CA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31EA2B4F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540C" w:rsidRPr="005C20E7" w14:paraId="14CCFF26" w14:textId="77777777" w:rsidTr="00983EE3">
        <w:tc>
          <w:tcPr>
            <w:tcW w:w="1870" w:type="dxa"/>
          </w:tcPr>
          <w:p w14:paraId="44755713" w14:textId="33CF6411" w:rsidR="0055540C" w:rsidRPr="005C20E7" w:rsidRDefault="0055540C" w:rsidP="0055540C">
            <w:pPr>
              <w:rPr>
                <w:rFonts w:ascii="Times New Roman" w:hAnsi="Times New Roman" w:cs="Times New Roman"/>
                <w:bCs/>
              </w:rPr>
            </w:pPr>
            <w:r w:rsidRPr="005C20E7">
              <w:rPr>
                <w:rFonts w:ascii="Times New Roman" w:hAnsi="Times New Roman" w:cs="Times New Roman"/>
                <w:bCs/>
              </w:rPr>
              <w:t>Sell Stop Order</w:t>
            </w:r>
          </w:p>
        </w:tc>
        <w:tc>
          <w:tcPr>
            <w:tcW w:w="2445" w:type="dxa"/>
          </w:tcPr>
          <w:p w14:paraId="649A3BE8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14:paraId="0BF9227A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6FAC6B13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4494A00D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540C" w:rsidRPr="005C20E7" w14:paraId="16F5489E" w14:textId="77777777" w:rsidTr="00983EE3">
        <w:tc>
          <w:tcPr>
            <w:tcW w:w="1870" w:type="dxa"/>
          </w:tcPr>
          <w:p w14:paraId="176501EA" w14:textId="363EC22F" w:rsidR="0055540C" w:rsidRPr="005C20E7" w:rsidRDefault="0055540C" w:rsidP="0055540C">
            <w:pPr>
              <w:rPr>
                <w:rFonts w:ascii="Times New Roman" w:hAnsi="Times New Roman" w:cs="Times New Roman"/>
                <w:bCs/>
              </w:rPr>
            </w:pPr>
            <w:r w:rsidRPr="005C20E7">
              <w:rPr>
                <w:rFonts w:ascii="Times New Roman" w:hAnsi="Times New Roman" w:cs="Times New Roman"/>
                <w:bCs/>
              </w:rPr>
              <w:t>Sell Limit Order</w:t>
            </w:r>
          </w:p>
        </w:tc>
        <w:tc>
          <w:tcPr>
            <w:tcW w:w="2445" w:type="dxa"/>
          </w:tcPr>
          <w:p w14:paraId="19072ED3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14:paraId="439C0CB3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54A003C5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19BD871E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540C" w:rsidRPr="005C20E7" w14:paraId="2CAC9DCA" w14:textId="77777777" w:rsidTr="00983EE3">
        <w:tc>
          <w:tcPr>
            <w:tcW w:w="1870" w:type="dxa"/>
          </w:tcPr>
          <w:p w14:paraId="5AEF8A26" w14:textId="20AC4F08" w:rsidR="0055540C" w:rsidRPr="005C20E7" w:rsidRDefault="0055540C" w:rsidP="0055540C">
            <w:pPr>
              <w:rPr>
                <w:rFonts w:ascii="Times New Roman" w:hAnsi="Times New Roman" w:cs="Times New Roman"/>
                <w:bCs/>
              </w:rPr>
            </w:pPr>
            <w:r w:rsidRPr="005C20E7">
              <w:rPr>
                <w:rFonts w:ascii="Times New Roman" w:hAnsi="Times New Roman" w:cs="Times New Roman"/>
                <w:bCs/>
              </w:rPr>
              <w:t>Buy Limit Order</w:t>
            </w:r>
          </w:p>
        </w:tc>
        <w:tc>
          <w:tcPr>
            <w:tcW w:w="2445" w:type="dxa"/>
          </w:tcPr>
          <w:p w14:paraId="3293A8D9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14:paraId="65C16CE3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487B3B6C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</w:tcPr>
          <w:p w14:paraId="3AA37AD9" w14:textId="77777777" w:rsidR="0055540C" w:rsidRPr="005C20E7" w:rsidRDefault="0055540C" w:rsidP="004937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14:paraId="11FD8007" w14:textId="3FC3F7F6" w:rsidR="0055540C" w:rsidRDefault="0055540C">
      <w:pPr>
        <w:rPr>
          <w:rFonts w:ascii="Times New Roman" w:hAnsi="Times New Roman" w:cs="Times New Roman"/>
          <w:bCs/>
          <w:sz w:val="24"/>
          <w:szCs w:val="24"/>
        </w:rPr>
      </w:pPr>
    </w:p>
    <w:p w14:paraId="4453C9EC" w14:textId="0E74B380" w:rsidR="00AB32E9" w:rsidRDefault="00AB32E9" w:rsidP="00AB32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5DE8">
        <w:rPr>
          <w:rFonts w:ascii="Times New Roman" w:hAnsi="Times New Roman" w:cs="Times New Roman"/>
          <w:bCs/>
          <w:i/>
          <w:iCs/>
          <w:sz w:val="24"/>
          <w:szCs w:val="24"/>
        </w:rPr>
        <w:t>Notice in the examples above,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</w:t>
      </w:r>
      <w:r w:rsidRPr="00F75D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buy stop order for RIC executed because I set my original order price at $250, and the stock rose to and above that price. For the sell stop order WHAM, the order executed because the price of the stock fell to $300 or lower, but has since recovered to $335.</w:t>
      </w:r>
    </w:p>
    <w:p w14:paraId="76A4830F" w14:textId="2E16F26B" w:rsidR="00CF1041" w:rsidRPr="00F75DE8" w:rsidRDefault="00CF1041" w:rsidP="00AB32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D1B5BE" wp14:editId="6217D764">
            <wp:simplePos x="0" y="0"/>
            <wp:positionH relativeFrom="column">
              <wp:posOffset>5876</wp:posOffset>
            </wp:positionH>
            <wp:positionV relativeFrom="paragraph">
              <wp:posOffset>273837</wp:posOffset>
            </wp:positionV>
            <wp:extent cx="431800" cy="431800"/>
            <wp:effectExtent l="0" t="0" r="0" b="0"/>
            <wp:wrapTight wrapText="bothSides">
              <wp:wrapPolygon edited="0">
                <wp:start x="2859" y="2859"/>
                <wp:lineTo x="2859" y="18106"/>
                <wp:lineTo x="18106" y="18106"/>
                <wp:lineTo x="18106" y="2859"/>
                <wp:lineTo x="2859" y="2859"/>
              </wp:wrapPolygon>
            </wp:wrapTight>
            <wp:docPr id="3" name="Graphic 3" descr="Checkbox Checke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box Checked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5D73" w14:textId="6E864ECA" w:rsidR="0055540C" w:rsidRDefault="0055540C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are free to either “cancel” any of these price contingent orders or exit any of the stock positions associated with these orders.</w:t>
      </w:r>
      <w:r w:rsidR="00CF1041">
        <w:rPr>
          <w:rFonts w:ascii="Times New Roman" w:hAnsi="Times New Roman" w:cs="Times New Roman"/>
          <w:bCs/>
          <w:sz w:val="24"/>
          <w:szCs w:val="24"/>
        </w:rPr>
        <w:t xml:space="preserve"> You can do this anytime during the semester.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524A7" w14:textId="6A9BC5E6" w:rsidR="00E723FC" w:rsidRDefault="00E723FC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C2FD0" w14:textId="69E96342" w:rsidR="00003AD7" w:rsidRPr="00FD06EA" w:rsidRDefault="00003AD7" w:rsidP="00003A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Calls </w:t>
      </w:r>
    </w:p>
    <w:p w14:paraId="48544A29" w14:textId="22BE0631" w:rsidR="000F35D2" w:rsidRDefault="000F35D2" w:rsidP="000F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a company that you are</w:t>
      </w:r>
      <w:r w:rsidR="00E84A6D" w:rsidRPr="00FD3D08">
        <w:rPr>
          <w:rFonts w:ascii="Times New Roman" w:hAnsi="Times New Roman" w:cs="Times New Roman"/>
          <w:bCs/>
          <w:sz w:val="24"/>
          <w:szCs w:val="24"/>
        </w:rPr>
        <w:t xml:space="preserve"> bullish on. Make sure </w:t>
      </w:r>
      <w:r w:rsidR="008A6F48" w:rsidRPr="00FD3D08">
        <w:rPr>
          <w:rFonts w:ascii="Times New Roman" w:hAnsi="Times New Roman" w:cs="Times New Roman"/>
          <w:bCs/>
          <w:sz w:val="24"/>
          <w:szCs w:val="24"/>
        </w:rPr>
        <w:t xml:space="preserve">you have not </w:t>
      </w:r>
      <w:r w:rsidR="00E84A6D" w:rsidRPr="00FD3D08">
        <w:rPr>
          <w:rFonts w:ascii="Times New Roman" w:hAnsi="Times New Roman" w:cs="Times New Roman"/>
          <w:bCs/>
          <w:sz w:val="24"/>
          <w:szCs w:val="24"/>
        </w:rPr>
        <w:t>already traded</w:t>
      </w:r>
      <w:r w:rsidR="008A6F48" w:rsidRPr="00FD3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this company’s stock</w:t>
      </w:r>
      <w:r w:rsidR="00E84A6D" w:rsidRPr="00FD3D0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060935" w:rsidRPr="00FD3D08">
        <w:rPr>
          <w:rFonts w:ascii="Times New Roman" w:hAnsi="Times New Roman" w:cs="Times New Roman"/>
          <w:bCs/>
          <w:sz w:val="24"/>
          <w:szCs w:val="24"/>
        </w:rPr>
        <w:t xml:space="preserve">any of the previous Trading Assignments. </w:t>
      </w:r>
      <w:r>
        <w:rPr>
          <w:rFonts w:ascii="Times New Roman" w:hAnsi="Times New Roman" w:cs="Times New Roman"/>
          <w:bCs/>
          <w:sz w:val="24"/>
          <w:szCs w:val="24"/>
        </w:rPr>
        <w:t xml:space="preserve">Purchase a call option on this stock. </w:t>
      </w:r>
      <w:r w:rsidRPr="000F35D2">
        <w:rPr>
          <w:rFonts w:ascii="Times New Roman" w:hAnsi="Times New Roman" w:cs="Times New Roman"/>
          <w:sz w:val="24"/>
          <w:szCs w:val="24"/>
        </w:rPr>
        <w:t xml:space="preserve">The total cost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0F35D2">
        <w:rPr>
          <w:rFonts w:ascii="Times New Roman" w:hAnsi="Times New Roman" w:cs="Times New Roman"/>
          <w:sz w:val="24"/>
          <w:szCs w:val="24"/>
        </w:rPr>
        <w:t xml:space="preserve"> purchase should be</w:t>
      </w:r>
      <w:r>
        <w:rPr>
          <w:rFonts w:ascii="Times New Roman" w:hAnsi="Times New Roman" w:cs="Times New Roman"/>
          <w:sz w:val="24"/>
          <w:szCs w:val="24"/>
        </w:rPr>
        <w:t xml:space="preserve"> at least</w:t>
      </w:r>
      <w:r w:rsidRPr="000F35D2">
        <w:rPr>
          <w:rFonts w:ascii="Times New Roman" w:hAnsi="Times New Roman" w:cs="Times New Roman"/>
          <w:sz w:val="24"/>
          <w:szCs w:val="24"/>
        </w:rPr>
        <w:t xml:space="preserve"> $10,000.</w:t>
      </w:r>
      <w:r w:rsidRPr="00C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Remember that options are quoted on a per share basis, but each one option is for 100 shares. </w:t>
      </w:r>
      <w:r w:rsidRPr="000F35D2">
        <w:rPr>
          <w:rFonts w:ascii="Times New Roman" w:hAnsi="Times New Roman" w:cs="Times New Roman"/>
          <w:sz w:val="24"/>
          <w:szCs w:val="24"/>
        </w:rPr>
        <w:t xml:space="preserve">For example, if an option’s </w:t>
      </w:r>
      <w:r>
        <w:rPr>
          <w:rFonts w:ascii="Times New Roman" w:hAnsi="Times New Roman" w:cs="Times New Roman"/>
          <w:sz w:val="24"/>
          <w:szCs w:val="24"/>
        </w:rPr>
        <w:t xml:space="preserve">premium </w:t>
      </w:r>
      <w:r w:rsidRPr="000F35D2">
        <w:rPr>
          <w:rFonts w:ascii="Times New Roman" w:hAnsi="Times New Roman" w:cs="Times New Roman"/>
          <w:sz w:val="24"/>
          <w:szCs w:val="24"/>
        </w:rPr>
        <w:t xml:space="preserve">is $5, purchasing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5D2">
        <w:rPr>
          <w:rFonts w:ascii="Times New Roman" w:hAnsi="Times New Roman" w:cs="Times New Roman"/>
          <w:sz w:val="24"/>
          <w:szCs w:val="24"/>
        </w:rPr>
        <w:t xml:space="preserve"> “contract” in Stock|Trak will cost $500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0F35D2">
        <w:rPr>
          <w:rFonts w:ascii="Times New Roman" w:hAnsi="Times New Roman" w:cs="Times New Roman"/>
          <w:sz w:val="24"/>
          <w:szCs w:val="24"/>
        </w:rPr>
        <w:t>$5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D2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D2">
        <w:rPr>
          <w:rFonts w:ascii="Times New Roman" w:hAnsi="Times New Roman" w:cs="Times New Roman"/>
          <w:sz w:val="24"/>
          <w:szCs w:val="24"/>
        </w:rPr>
        <w:t xml:space="preserve">100. You would need to therefore purchase a minimum of 20 “contracts” </w:t>
      </w:r>
      <w:r>
        <w:rPr>
          <w:rFonts w:ascii="Times New Roman" w:hAnsi="Times New Roman" w:cs="Times New Roman"/>
          <w:sz w:val="24"/>
          <w:szCs w:val="24"/>
        </w:rPr>
        <w:t xml:space="preserve">on this stock </w:t>
      </w:r>
      <w:r w:rsidRPr="000F35D2">
        <w:rPr>
          <w:rFonts w:ascii="Times New Roman" w:hAnsi="Times New Roman" w:cs="Times New Roman"/>
          <w:sz w:val="24"/>
          <w:szCs w:val="24"/>
        </w:rPr>
        <w:t>because $5 × 100 × 20 = $10,000.</w:t>
      </w:r>
    </w:p>
    <w:p w14:paraId="152A9E15" w14:textId="77777777" w:rsidR="001E4A38" w:rsidRDefault="001E4A38" w:rsidP="001E4A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080"/>
        <w:gridCol w:w="1350"/>
        <w:gridCol w:w="1440"/>
        <w:gridCol w:w="1260"/>
        <w:gridCol w:w="1890"/>
        <w:gridCol w:w="990"/>
      </w:tblGrid>
      <w:tr w:rsidR="000E2128" w14:paraId="1A285FDE" w14:textId="47019D43" w:rsidTr="000E2128">
        <w:tc>
          <w:tcPr>
            <w:tcW w:w="1345" w:type="dxa"/>
          </w:tcPr>
          <w:p w14:paraId="787F6414" w14:textId="77777777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 Ticker</w:t>
            </w:r>
          </w:p>
        </w:tc>
        <w:tc>
          <w:tcPr>
            <w:tcW w:w="1080" w:type="dxa"/>
          </w:tcPr>
          <w:p w14:paraId="4A2F393E" w14:textId="19F8DE9F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Premium per Share</w:t>
            </w:r>
          </w:p>
        </w:tc>
        <w:tc>
          <w:tcPr>
            <w:tcW w:w="1350" w:type="dxa"/>
          </w:tcPr>
          <w:p w14:paraId="10B3E19C" w14:textId="5151E3EA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 Price per Share</w:t>
            </w:r>
          </w:p>
        </w:tc>
        <w:tc>
          <w:tcPr>
            <w:tcW w:w="1440" w:type="dxa"/>
          </w:tcPr>
          <w:p w14:paraId="5FE2C83B" w14:textId="77777777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Stock’s Current Price</w:t>
            </w:r>
          </w:p>
        </w:tc>
        <w:tc>
          <w:tcPr>
            <w:tcW w:w="1260" w:type="dxa"/>
          </w:tcPr>
          <w:p w14:paraId="1A6177E9" w14:textId="138F914F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1890" w:type="dxa"/>
          </w:tcPr>
          <w:p w14:paraId="78CFA529" w14:textId="67E993F3" w:rsidR="001E4A38" w:rsidRPr="001E4A38" w:rsidRDefault="00C1082D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Contracts Purchased</w:t>
            </w:r>
          </w:p>
        </w:tc>
        <w:tc>
          <w:tcPr>
            <w:tcW w:w="990" w:type="dxa"/>
          </w:tcPr>
          <w:p w14:paraId="23FAEEFB" w14:textId="522BE3D1" w:rsidR="001E4A38" w:rsidRPr="0014601C" w:rsidRDefault="001E4A38" w:rsidP="0062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Cost</w:t>
            </w:r>
          </w:p>
        </w:tc>
      </w:tr>
      <w:tr w:rsidR="000E2128" w14:paraId="7ACCADAC" w14:textId="6CAECC47" w:rsidTr="000E2128">
        <w:tc>
          <w:tcPr>
            <w:tcW w:w="1345" w:type="dxa"/>
          </w:tcPr>
          <w:p w14:paraId="0AD9B937" w14:textId="11C5AB3B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FLSL</w:t>
            </w:r>
          </w:p>
        </w:tc>
        <w:tc>
          <w:tcPr>
            <w:tcW w:w="1080" w:type="dxa"/>
          </w:tcPr>
          <w:p w14:paraId="5DA33BCF" w14:textId="3FEF5B8E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$3</w:t>
            </w:r>
          </w:p>
        </w:tc>
        <w:tc>
          <w:tcPr>
            <w:tcW w:w="1350" w:type="dxa"/>
          </w:tcPr>
          <w:p w14:paraId="5A3A6351" w14:textId="74943508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$104</w:t>
            </w:r>
          </w:p>
        </w:tc>
        <w:tc>
          <w:tcPr>
            <w:tcW w:w="1440" w:type="dxa"/>
          </w:tcPr>
          <w:p w14:paraId="0D010294" w14:textId="452259BB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$107</w:t>
            </w:r>
          </w:p>
        </w:tc>
        <w:tc>
          <w:tcPr>
            <w:tcW w:w="1260" w:type="dxa"/>
          </w:tcPr>
          <w:p w14:paraId="016CC95A" w14:textId="40DE94F4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6/20/2030</w:t>
            </w:r>
          </w:p>
        </w:tc>
        <w:tc>
          <w:tcPr>
            <w:tcW w:w="1890" w:type="dxa"/>
          </w:tcPr>
          <w:p w14:paraId="090F496B" w14:textId="78DD845A" w:rsidR="001E4A38" w:rsidRDefault="00C1082D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34</w:t>
            </w:r>
          </w:p>
        </w:tc>
        <w:tc>
          <w:tcPr>
            <w:tcW w:w="990" w:type="dxa"/>
          </w:tcPr>
          <w:p w14:paraId="08DFA95F" w14:textId="510006BC" w:rsidR="001E4A38" w:rsidRPr="00983EE3" w:rsidRDefault="001E4A38" w:rsidP="00622B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$10,200</w:t>
            </w:r>
          </w:p>
        </w:tc>
      </w:tr>
      <w:tr w:rsidR="000E2128" w14:paraId="0C1202AF" w14:textId="0DF8003D" w:rsidTr="000E2128">
        <w:tc>
          <w:tcPr>
            <w:tcW w:w="1345" w:type="dxa"/>
          </w:tcPr>
          <w:p w14:paraId="2F8788AF" w14:textId="15A221E9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936EE6" w14:textId="77777777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1258C8" w14:textId="77777777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E4A170" w14:textId="77777777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BC10C" w14:textId="0C8CEE64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7CCC4E" w14:textId="76148706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E2DE5A5" w14:textId="2A804FA9" w:rsidR="001E4A38" w:rsidRDefault="001E4A38" w:rsidP="00622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D68B44" w14:textId="77777777" w:rsidR="002665F8" w:rsidRDefault="002665F8" w:rsidP="002665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8EF541" w14:textId="77777777" w:rsidR="00D65F44" w:rsidRDefault="00D65F44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53D15" w14:textId="77777777" w:rsidR="00D65F44" w:rsidRDefault="00D65F44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A8AA59" w14:textId="6B637BE7" w:rsidR="00BB7EA2" w:rsidRDefault="00BB7EA2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AE6E636" w14:textId="77777777" w:rsidR="000E2128" w:rsidRDefault="00D00A01" w:rsidP="000E212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are you bullish on t</w:t>
      </w:r>
      <w:r w:rsidR="001E4A38">
        <w:rPr>
          <w:rFonts w:ascii="Times New Roman" w:hAnsi="Times New Roman" w:cs="Times New Roman"/>
          <w:bCs/>
          <w:sz w:val="24"/>
          <w:szCs w:val="24"/>
        </w:rPr>
        <w:t>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stock?</w:t>
      </w:r>
    </w:p>
    <w:p w14:paraId="37975770" w14:textId="34B09BAF" w:rsidR="000E2128" w:rsidRPr="000E2128" w:rsidRDefault="000E2128" w:rsidP="000E212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128">
        <w:rPr>
          <w:rFonts w:ascii="Times New Roman" w:hAnsi="Times New Roman" w:cs="Times New Roman"/>
          <w:bCs/>
          <w:sz w:val="24"/>
          <w:szCs w:val="24"/>
        </w:rPr>
        <w:t xml:space="preserve">Is your option “in the money” or “out of the money”?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0E2128">
        <w:rPr>
          <w:rFonts w:ascii="Times New Roman" w:hAnsi="Times New Roman" w:cs="Times New Roman"/>
          <w:bCs/>
          <w:sz w:val="24"/>
          <w:szCs w:val="24"/>
        </w:rPr>
        <w:t xml:space="preserve">isit </w:t>
      </w:r>
      <w:hyperlink r:id="rId10" w:history="1">
        <w:r w:rsidRPr="000E212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this SEC website</w:t>
        </w:r>
      </w:hyperlink>
      <w:r w:rsidRPr="000E2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0E212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this NASDAQ website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to research.</w:t>
      </w:r>
    </w:p>
    <w:p w14:paraId="02370C27" w14:textId="357CF7DD" w:rsidR="003671E9" w:rsidRPr="00D00A01" w:rsidRDefault="001E4A38" w:rsidP="003671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what ITM </w:t>
      </w:r>
      <w:r w:rsidR="00C54F6D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OTM means, and why you chose your ITM </w:t>
      </w:r>
      <w:r w:rsidR="00C54F6D">
        <w:rPr>
          <w:rFonts w:ascii="Times New Roman" w:hAnsi="Times New Roman" w:cs="Times New Roman"/>
          <w:bCs/>
          <w:sz w:val="24"/>
          <w:szCs w:val="24"/>
        </w:rPr>
        <w:t>vs.</w:t>
      </w:r>
      <w:r>
        <w:rPr>
          <w:rFonts w:ascii="Times New Roman" w:hAnsi="Times New Roman" w:cs="Times New Roman"/>
          <w:bCs/>
          <w:sz w:val="24"/>
          <w:szCs w:val="24"/>
        </w:rPr>
        <w:t xml:space="preserve"> OT</w:t>
      </w:r>
      <w:r w:rsidR="00C54F6D">
        <w:rPr>
          <w:rFonts w:ascii="Times New Roman" w:hAnsi="Times New Roman" w:cs="Times New Roman"/>
          <w:bCs/>
          <w:sz w:val="24"/>
          <w:szCs w:val="24"/>
        </w:rPr>
        <w:t>M option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34F6D9" w14:textId="709CDE77" w:rsidR="00BB7EA2" w:rsidRPr="00D00A01" w:rsidRDefault="00BB7EA2" w:rsidP="00D00A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</w:t>
      </w:r>
      <w:r w:rsidR="00C75848">
        <w:rPr>
          <w:rFonts w:ascii="Times New Roman" w:hAnsi="Times New Roman" w:cs="Times New Roman"/>
          <w:bCs/>
          <w:sz w:val="24"/>
          <w:szCs w:val="24"/>
        </w:rPr>
        <w:t>any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articles </w:t>
      </w:r>
      <w:r w:rsidR="00C7584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9B3B66">
        <w:rPr>
          <w:rFonts w:ascii="Times New Roman" w:hAnsi="Times New Roman" w:cs="Times New Roman"/>
          <w:bCs/>
          <w:sz w:val="24"/>
          <w:szCs w:val="24"/>
        </w:rPr>
        <w:t>sources that helped you arrive at</w:t>
      </w:r>
      <w:r w:rsidR="00C75848">
        <w:rPr>
          <w:rFonts w:ascii="Times New Roman" w:hAnsi="Times New Roman" w:cs="Times New Roman"/>
          <w:bCs/>
          <w:sz w:val="24"/>
          <w:szCs w:val="24"/>
        </w:rPr>
        <w:t xml:space="preserve"> your </w:t>
      </w:r>
      <w:r w:rsidR="00C54F6D">
        <w:rPr>
          <w:rFonts w:ascii="Times New Roman" w:hAnsi="Times New Roman" w:cs="Times New Roman"/>
          <w:bCs/>
          <w:sz w:val="24"/>
          <w:szCs w:val="24"/>
        </w:rPr>
        <w:t>decision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EA2" w:rsidRPr="00FC34A1" w14:paraId="79DFC2C4" w14:textId="77777777" w:rsidTr="00C54F6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1EEC272" w14:textId="4D0F81E0" w:rsidR="00BB7EA2" w:rsidRDefault="003678CB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E674486" wp14:editId="39181DC8">
                      <wp:simplePos x="0" y="0"/>
                      <wp:positionH relativeFrom="column">
                        <wp:posOffset>-25722</wp:posOffset>
                      </wp:positionH>
                      <wp:positionV relativeFrom="paragraph">
                        <wp:posOffset>34120</wp:posOffset>
                      </wp:positionV>
                      <wp:extent cx="5929630" cy="2353945"/>
                      <wp:effectExtent l="0" t="0" r="13970" b="2730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353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CB972" w14:textId="77777777" w:rsidR="00C54F6D" w:rsidRDefault="00C54F6D" w:rsidP="00C54F6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74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2.05pt;margin-top:2.7pt;width:466.9pt;height:18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" filled="f">
                      <v:textbox>
                        <w:txbxContent>
                          <w:p w14:paraId="6ABCB972" w14:textId="77777777" w:rsidR="00C54F6D" w:rsidRDefault="00C54F6D" w:rsidP="00C54F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63A33" w14:textId="4CF623DD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7138581" w14:textId="3D662F41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F58193" w14:textId="34AD9A5C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78CAD4" w14:textId="01B2C1F6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0A0C8B" w14:textId="3C392AA9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900F0E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9E6EC5" w14:textId="4033FF9F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A0C3783" w14:textId="43432C8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BA5C0E" w14:textId="77777777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56A5928" w14:textId="77777777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BEB25BA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133460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6CD1E9D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1C61C6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E3CC6F0" w14:textId="77777777" w:rsidR="00BB7EA2" w:rsidRDefault="00BB7EA2" w:rsidP="002624D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7DAE49D0" w14:textId="4F7ED32F" w:rsidR="002624D0" w:rsidRPr="00FD06EA" w:rsidRDefault="002624D0" w:rsidP="002624D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Puts</w:t>
      </w:r>
    </w:p>
    <w:p w14:paraId="4E43D875" w14:textId="47782006" w:rsidR="00775946" w:rsidRDefault="00775946" w:rsidP="0077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a company that you are</w:t>
      </w:r>
      <w:r w:rsidRPr="00FD3D08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earish</w:t>
      </w:r>
      <w:r w:rsidRPr="00FD3D08">
        <w:rPr>
          <w:rFonts w:ascii="Times New Roman" w:hAnsi="Times New Roman" w:cs="Times New Roman"/>
          <w:bCs/>
          <w:sz w:val="24"/>
          <w:szCs w:val="24"/>
        </w:rPr>
        <w:t xml:space="preserve"> on. Make sure you have not already traded </w:t>
      </w:r>
      <w:r>
        <w:rPr>
          <w:rFonts w:ascii="Times New Roman" w:hAnsi="Times New Roman" w:cs="Times New Roman"/>
          <w:bCs/>
          <w:sz w:val="24"/>
          <w:szCs w:val="24"/>
        </w:rPr>
        <w:t>this company’s stock</w:t>
      </w:r>
      <w:r w:rsidRPr="00FD3D08">
        <w:rPr>
          <w:rFonts w:ascii="Times New Roman" w:hAnsi="Times New Roman" w:cs="Times New Roman"/>
          <w:bCs/>
          <w:sz w:val="24"/>
          <w:szCs w:val="24"/>
        </w:rPr>
        <w:t xml:space="preserve"> in any of the previous Trading Assignments. </w:t>
      </w:r>
      <w:r>
        <w:rPr>
          <w:rFonts w:ascii="Times New Roman" w:hAnsi="Times New Roman" w:cs="Times New Roman"/>
          <w:bCs/>
          <w:sz w:val="24"/>
          <w:szCs w:val="24"/>
        </w:rPr>
        <w:t xml:space="preserve">Purchase a put option on this stock. </w:t>
      </w:r>
      <w:r w:rsidRPr="000F35D2">
        <w:rPr>
          <w:rFonts w:ascii="Times New Roman" w:hAnsi="Times New Roman" w:cs="Times New Roman"/>
          <w:sz w:val="24"/>
          <w:szCs w:val="24"/>
        </w:rPr>
        <w:t xml:space="preserve">The total cost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0F35D2">
        <w:rPr>
          <w:rFonts w:ascii="Times New Roman" w:hAnsi="Times New Roman" w:cs="Times New Roman"/>
          <w:sz w:val="24"/>
          <w:szCs w:val="24"/>
        </w:rPr>
        <w:t xml:space="preserve"> purchase should be</w:t>
      </w:r>
      <w:r>
        <w:rPr>
          <w:rFonts w:ascii="Times New Roman" w:hAnsi="Times New Roman" w:cs="Times New Roman"/>
          <w:sz w:val="24"/>
          <w:szCs w:val="24"/>
        </w:rPr>
        <w:t xml:space="preserve"> at least</w:t>
      </w:r>
      <w:r w:rsidRPr="000F35D2">
        <w:rPr>
          <w:rFonts w:ascii="Times New Roman" w:hAnsi="Times New Roman" w:cs="Times New Roman"/>
          <w:sz w:val="24"/>
          <w:szCs w:val="24"/>
        </w:rPr>
        <w:t xml:space="preserve"> $10,000.</w:t>
      </w:r>
      <w:r w:rsidRPr="00C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Remember that options are quoted on a per share basis, but each one option is for 100 shares. </w:t>
      </w:r>
      <w:r w:rsidRPr="000F35D2">
        <w:rPr>
          <w:rFonts w:ascii="Times New Roman" w:hAnsi="Times New Roman" w:cs="Times New Roman"/>
          <w:sz w:val="24"/>
          <w:szCs w:val="24"/>
        </w:rPr>
        <w:t xml:space="preserve">For example, if an option’s </w:t>
      </w:r>
      <w:r>
        <w:rPr>
          <w:rFonts w:ascii="Times New Roman" w:hAnsi="Times New Roman" w:cs="Times New Roman"/>
          <w:sz w:val="24"/>
          <w:szCs w:val="24"/>
        </w:rPr>
        <w:t xml:space="preserve">premium </w:t>
      </w:r>
      <w:r w:rsidRPr="000F35D2">
        <w:rPr>
          <w:rFonts w:ascii="Times New Roman" w:hAnsi="Times New Roman" w:cs="Times New Roman"/>
          <w:sz w:val="24"/>
          <w:szCs w:val="24"/>
        </w:rPr>
        <w:t>is $</w:t>
      </w:r>
      <w:r w:rsidR="003A2445">
        <w:rPr>
          <w:rFonts w:ascii="Times New Roman" w:hAnsi="Times New Roman" w:cs="Times New Roman"/>
          <w:sz w:val="24"/>
          <w:szCs w:val="24"/>
        </w:rPr>
        <w:t>25</w:t>
      </w:r>
      <w:r w:rsidRPr="000F35D2">
        <w:rPr>
          <w:rFonts w:ascii="Times New Roman" w:hAnsi="Times New Roman" w:cs="Times New Roman"/>
          <w:sz w:val="24"/>
          <w:szCs w:val="24"/>
        </w:rPr>
        <w:t xml:space="preserve">, purchasing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5D2">
        <w:rPr>
          <w:rFonts w:ascii="Times New Roman" w:hAnsi="Times New Roman" w:cs="Times New Roman"/>
          <w:sz w:val="24"/>
          <w:szCs w:val="24"/>
        </w:rPr>
        <w:t xml:space="preserve"> “contract” in Stock|Trak will cost $</w:t>
      </w:r>
      <w:r w:rsidR="003A2445">
        <w:rPr>
          <w:rFonts w:ascii="Times New Roman" w:hAnsi="Times New Roman" w:cs="Times New Roman"/>
          <w:sz w:val="24"/>
          <w:szCs w:val="24"/>
        </w:rPr>
        <w:t>2,500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0F35D2">
        <w:rPr>
          <w:rFonts w:ascii="Times New Roman" w:hAnsi="Times New Roman" w:cs="Times New Roman"/>
          <w:sz w:val="24"/>
          <w:szCs w:val="24"/>
        </w:rPr>
        <w:t>$</w:t>
      </w:r>
      <w:r w:rsidR="003A24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D2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D2">
        <w:rPr>
          <w:rFonts w:ascii="Times New Roman" w:hAnsi="Times New Roman" w:cs="Times New Roman"/>
          <w:sz w:val="24"/>
          <w:szCs w:val="24"/>
        </w:rPr>
        <w:t xml:space="preserve">100. You would need to therefore purchase a minimum of </w:t>
      </w:r>
      <w:r w:rsidR="003A2445">
        <w:rPr>
          <w:rFonts w:ascii="Times New Roman" w:hAnsi="Times New Roman" w:cs="Times New Roman"/>
          <w:sz w:val="24"/>
          <w:szCs w:val="24"/>
        </w:rPr>
        <w:t>4</w:t>
      </w:r>
      <w:r w:rsidRPr="000F35D2">
        <w:rPr>
          <w:rFonts w:ascii="Times New Roman" w:hAnsi="Times New Roman" w:cs="Times New Roman"/>
          <w:sz w:val="24"/>
          <w:szCs w:val="24"/>
        </w:rPr>
        <w:t xml:space="preserve"> “contracts” </w:t>
      </w:r>
      <w:r>
        <w:rPr>
          <w:rFonts w:ascii="Times New Roman" w:hAnsi="Times New Roman" w:cs="Times New Roman"/>
          <w:sz w:val="24"/>
          <w:szCs w:val="24"/>
        </w:rPr>
        <w:t xml:space="preserve">on this stock </w:t>
      </w:r>
      <w:r w:rsidRPr="000F35D2">
        <w:rPr>
          <w:rFonts w:ascii="Times New Roman" w:hAnsi="Times New Roman" w:cs="Times New Roman"/>
          <w:sz w:val="24"/>
          <w:szCs w:val="24"/>
        </w:rPr>
        <w:t>because $</w:t>
      </w:r>
      <w:r w:rsidR="003A2445">
        <w:rPr>
          <w:rFonts w:ascii="Times New Roman" w:hAnsi="Times New Roman" w:cs="Times New Roman"/>
          <w:sz w:val="24"/>
          <w:szCs w:val="24"/>
        </w:rPr>
        <w:t>25</w:t>
      </w:r>
      <w:r w:rsidRPr="000F35D2">
        <w:rPr>
          <w:rFonts w:ascii="Times New Roman" w:hAnsi="Times New Roman" w:cs="Times New Roman"/>
          <w:sz w:val="24"/>
          <w:szCs w:val="24"/>
        </w:rPr>
        <w:t xml:space="preserve"> × 100 × </w:t>
      </w:r>
      <w:r w:rsidR="003A2445">
        <w:rPr>
          <w:rFonts w:ascii="Times New Roman" w:hAnsi="Times New Roman" w:cs="Times New Roman"/>
          <w:sz w:val="24"/>
          <w:szCs w:val="24"/>
        </w:rPr>
        <w:t>4</w:t>
      </w:r>
      <w:r w:rsidRPr="000F35D2">
        <w:rPr>
          <w:rFonts w:ascii="Times New Roman" w:hAnsi="Times New Roman" w:cs="Times New Roman"/>
          <w:sz w:val="24"/>
          <w:szCs w:val="24"/>
        </w:rPr>
        <w:t xml:space="preserve"> = $10,000.</w:t>
      </w:r>
    </w:p>
    <w:p w14:paraId="2CB38DE1" w14:textId="77777777" w:rsidR="00775946" w:rsidRDefault="00775946" w:rsidP="007759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260"/>
        <w:gridCol w:w="1350"/>
        <w:gridCol w:w="1440"/>
        <w:gridCol w:w="1350"/>
        <w:gridCol w:w="1350"/>
        <w:gridCol w:w="1260"/>
      </w:tblGrid>
      <w:tr w:rsidR="00775946" w14:paraId="30B16C77" w14:textId="77777777" w:rsidTr="00F34348">
        <w:tc>
          <w:tcPr>
            <w:tcW w:w="1345" w:type="dxa"/>
          </w:tcPr>
          <w:p w14:paraId="7F56BC0A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 Ticker</w:t>
            </w:r>
          </w:p>
        </w:tc>
        <w:tc>
          <w:tcPr>
            <w:tcW w:w="1260" w:type="dxa"/>
          </w:tcPr>
          <w:p w14:paraId="3D78BA87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Premium per Share</w:t>
            </w:r>
          </w:p>
        </w:tc>
        <w:tc>
          <w:tcPr>
            <w:tcW w:w="1350" w:type="dxa"/>
          </w:tcPr>
          <w:p w14:paraId="5B98A049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 Price per Share</w:t>
            </w:r>
          </w:p>
        </w:tc>
        <w:tc>
          <w:tcPr>
            <w:tcW w:w="1440" w:type="dxa"/>
          </w:tcPr>
          <w:p w14:paraId="094A0928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Stock’s Current Price</w:t>
            </w:r>
          </w:p>
        </w:tc>
        <w:tc>
          <w:tcPr>
            <w:tcW w:w="1350" w:type="dxa"/>
          </w:tcPr>
          <w:p w14:paraId="784E07F0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1350" w:type="dxa"/>
          </w:tcPr>
          <w:p w14:paraId="64937C2B" w14:textId="65A1AA2D" w:rsidR="00775946" w:rsidRPr="001E4A38" w:rsidRDefault="00EC2C05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Contracts Purchased</w:t>
            </w:r>
          </w:p>
        </w:tc>
        <w:tc>
          <w:tcPr>
            <w:tcW w:w="1260" w:type="dxa"/>
          </w:tcPr>
          <w:p w14:paraId="090F72BD" w14:textId="77777777" w:rsidR="00775946" w:rsidRPr="0014601C" w:rsidRDefault="00775946" w:rsidP="00F34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Cost</w:t>
            </w:r>
          </w:p>
        </w:tc>
      </w:tr>
      <w:tr w:rsidR="00775946" w14:paraId="53A2D657" w14:textId="77777777" w:rsidTr="00F34348">
        <w:tc>
          <w:tcPr>
            <w:tcW w:w="1345" w:type="dxa"/>
          </w:tcPr>
          <w:p w14:paraId="219AE6BA" w14:textId="4EDC8071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LSFL</w:t>
            </w:r>
          </w:p>
        </w:tc>
        <w:tc>
          <w:tcPr>
            <w:tcW w:w="1260" w:type="dxa"/>
          </w:tcPr>
          <w:p w14:paraId="4E922AB6" w14:textId="1850CD7C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</w:t>
            </w:r>
          </w:p>
        </w:tc>
        <w:tc>
          <w:tcPr>
            <w:tcW w:w="1350" w:type="dxa"/>
          </w:tcPr>
          <w:p w14:paraId="587D6A59" w14:textId="39F14CAC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$41</w:t>
            </w:r>
          </w:p>
        </w:tc>
        <w:tc>
          <w:tcPr>
            <w:tcW w:w="1440" w:type="dxa"/>
          </w:tcPr>
          <w:p w14:paraId="5E65B731" w14:textId="168B60E8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$44</w:t>
            </w:r>
          </w:p>
        </w:tc>
        <w:tc>
          <w:tcPr>
            <w:tcW w:w="1350" w:type="dxa"/>
          </w:tcPr>
          <w:p w14:paraId="7F31AAFD" w14:textId="77777777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6/20/2030</w:t>
            </w:r>
          </w:p>
        </w:tc>
        <w:tc>
          <w:tcPr>
            <w:tcW w:w="1350" w:type="dxa"/>
          </w:tcPr>
          <w:p w14:paraId="2F79A419" w14:textId="71437276" w:rsidR="00775946" w:rsidRDefault="00EC2C05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100</w:t>
            </w:r>
          </w:p>
        </w:tc>
        <w:tc>
          <w:tcPr>
            <w:tcW w:w="1260" w:type="dxa"/>
          </w:tcPr>
          <w:p w14:paraId="6899140B" w14:textId="4CA86D74" w:rsidR="00775946" w:rsidRPr="00983EE3" w:rsidRDefault="00775946" w:rsidP="00F3434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$10,000</w:t>
            </w:r>
          </w:p>
        </w:tc>
      </w:tr>
      <w:tr w:rsidR="00775946" w14:paraId="5DAC3613" w14:textId="77777777" w:rsidTr="00F34348">
        <w:tc>
          <w:tcPr>
            <w:tcW w:w="1345" w:type="dxa"/>
          </w:tcPr>
          <w:p w14:paraId="2905BA79" w14:textId="72999D1A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CF78E4" w14:textId="41FF1A1D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DA0DD" w14:textId="3CD13C32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F1168D" w14:textId="24110A9F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FAF804" w14:textId="5C542B61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096E4C" w14:textId="14780B3F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D91FF8" w14:textId="39267C37" w:rsidR="00775946" w:rsidRDefault="00775946" w:rsidP="00F343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A34D98" w14:textId="77777777" w:rsidR="00775946" w:rsidRDefault="00775946" w:rsidP="007759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4A021" w14:textId="1170E7F8" w:rsidR="00775946" w:rsidRDefault="00775946" w:rsidP="007759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946" w:rsidRPr="00FC34A1" w14:paraId="19C4BAB4" w14:textId="77777777" w:rsidTr="00F3434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9660E48" w14:textId="31B5463F" w:rsidR="00EC2C05" w:rsidRDefault="00EC2C05" w:rsidP="00EC2C0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Why are you bearish on this stock?</w:t>
            </w:r>
          </w:p>
          <w:p w14:paraId="3B3ED14C" w14:textId="77777777" w:rsidR="00EC2C05" w:rsidRPr="000E2128" w:rsidRDefault="00EC2C05" w:rsidP="00EC2C05">
            <w:pPr>
              <w:pStyle w:val="ListParagraph"/>
              <w:numPr>
                <w:ilvl w:val="0"/>
                <w:numId w:val="11"/>
              </w:num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your option “in the money” or “out of the money”?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E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isit </w:t>
            </w:r>
            <w:hyperlink r:id="rId12" w:history="1">
              <w:r w:rsidRPr="000E212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this SEC website</w:t>
              </w:r>
            </w:hyperlink>
            <w:r w:rsidRPr="000E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0E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this NASDAQ website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research.</w:t>
            </w:r>
          </w:p>
          <w:p w14:paraId="73F03516" w14:textId="77777777" w:rsidR="00EC2C05" w:rsidRPr="00D00A01" w:rsidRDefault="00EC2C05" w:rsidP="00EC2C0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what ITM and OTM means, and why you chose your ITM vs. OTM option.</w:t>
            </w:r>
          </w:p>
          <w:p w14:paraId="61317D15" w14:textId="48C294C3" w:rsidR="00EC2C05" w:rsidRDefault="00EC2C05" w:rsidP="00EC2C0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B3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eference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  <w:r w:rsidRPr="009B3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articles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Pr="009B3B66">
              <w:rPr>
                <w:rFonts w:ascii="Times New Roman" w:hAnsi="Times New Roman" w:cs="Times New Roman"/>
                <w:bCs/>
                <w:sz w:val="24"/>
                <w:szCs w:val="24"/>
              </w:rPr>
              <w:t>sources that helped you arrive 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your decision</w:t>
            </w:r>
            <w:r w:rsidRPr="009B3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BD1D87A" w14:textId="77777777" w:rsidR="00D65F44" w:rsidRPr="00D00A01" w:rsidRDefault="00D65F44" w:rsidP="00D65F44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  <w:p w14:paraId="6C3642D5" w14:textId="6E85A983" w:rsidR="00775946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B3B40BE" wp14:editId="1215BB2A">
                      <wp:simplePos x="0" y="0"/>
                      <wp:positionH relativeFrom="column">
                        <wp:posOffset>-11752</wp:posOffset>
                      </wp:positionH>
                      <wp:positionV relativeFrom="paragraph">
                        <wp:posOffset>101894</wp:posOffset>
                      </wp:positionV>
                      <wp:extent cx="5929630" cy="2353945"/>
                      <wp:effectExtent l="0" t="0" r="1397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353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0798D" w14:textId="77777777" w:rsidR="00775946" w:rsidRDefault="00775946" w:rsidP="007759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40BE" id="Text Box 5" o:spid="_x0000_s1027" type="#_x0000_t202" style="position:absolute;left:0;text-align:left;margin-left:-.95pt;margin-top:8pt;width:466.9pt;height:18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" filled="f">
                      <v:textbox>
                        <w:txbxContent>
                          <w:p w14:paraId="1500798D" w14:textId="77777777" w:rsidR="00775946" w:rsidRDefault="00775946" w:rsidP="007759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EC44F" w14:textId="77777777" w:rsidR="00775946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AE104B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7B4085B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0B14F3E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D39E299" w14:textId="7AED785F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B7090E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3597E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ED16D4" w14:textId="54769661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91BDF9" w14:textId="157BC246" w:rsidR="00775946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31D624" w14:textId="77777777" w:rsidR="00775946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F1175D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61A4765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31A3DD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683BA3" w14:textId="77777777" w:rsidR="00775946" w:rsidRPr="00FC34A1" w:rsidRDefault="00775946" w:rsidP="00F3434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35963E" w14:textId="77777777" w:rsidR="00BB410C" w:rsidRDefault="00BB410C" w:rsidP="00F143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AF71C" w14:textId="1A147768" w:rsidR="002624D0" w:rsidRDefault="00E723FC" w:rsidP="00F143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D397DD" wp14:editId="33D1F085">
            <wp:simplePos x="0" y="0"/>
            <wp:positionH relativeFrom="column">
              <wp:posOffset>-5938</wp:posOffset>
            </wp:positionH>
            <wp:positionV relativeFrom="paragraph">
              <wp:posOffset>230167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1" name="Graphic 1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ig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2D11F" w14:textId="73C30EEF" w:rsidR="00C02B48" w:rsidRPr="00DE0C8F" w:rsidRDefault="00DE1D8E" w:rsidP="00E723F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8F">
        <w:rPr>
          <w:rFonts w:ascii="Times New Roman" w:hAnsi="Times New Roman" w:cs="Times New Roman"/>
          <w:bCs/>
          <w:sz w:val="24"/>
          <w:szCs w:val="24"/>
        </w:rPr>
        <w:t>Do n</w:t>
      </w:r>
      <w:r w:rsidR="00DE0C8F" w:rsidRPr="00DE0C8F">
        <w:rPr>
          <w:rFonts w:ascii="Times New Roman" w:hAnsi="Times New Roman" w:cs="Times New Roman"/>
          <w:bCs/>
          <w:sz w:val="24"/>
          <w:szCs w:val="24"/>
        </w:rPr>
        <w:t xml:space="preserve">ot exercise or </w:t>
      </w:r>
      <w:r w:rsidR="000F35D2">
        <w:rPr>
          <w:rFonts w:ascii="Times New Roman" w:hAnsi="Times New Roman" w:cs="Times New Roman"/>
          <w:bCs/>
          <w:sz w:val="24"/>
          <w:szCs w:val="24"/>
        </w:rPr>
        <w:t>sell out of</w:t>
      </w:r>
      <w:r w:rsidR="00DE0C8F" w:rsidRPr="00DE0C8F">
        <w:rPr>
          <w:rFonts w:ascii="Times New Roman" w:hAnsi="Times New Roman" w:cs="Times New Roman"/>
          <w:bCs/>
          <w:sz w:val="24"/>
          <w:szCs w:val="24"/>
        </w:rPr>
        <w:t xml:space="preserve"> these option positions un</w:t>
      </w:r>
      <w:r w:rsidR="0053734B">
        <w:rPr>
          <w:rFonts w:ascii="Times New Roman" w:hAnsi="Times New Roman" w:cs="Times New Roman"/>
          <w:bCs/>
          <w:sz w:val="24"/>
          <w:szCs w:val="24"/>
        </w:rPr>
        <w:t>less</w:t>
      </w:r>
      <w:r w:rsidR="00DE0C8F" w:rsidRPr="00DE0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34B">
        <w:rPr>
          <w:rFonts w:ascii="Times New Roman" w:hAnsi="Times New Roman" w:cs="Times New Roman"/>
          <w:bCs/>
          <w:sz w:val="24"/>
          <w:szCs w:val="24"/>
        </w:rPr>
        <w:t>you’ve held for at least 24 hours</w:t>
      </w:r>
      <w:r w:rsidR="00DE0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1CF141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94D507D" w14:textId="7F7C2139" w:rsidR="00C02B48" w:rsidRPr="00DF58CB" w:rsidRDefault="00C02B48" w:rsidP="00A93A33">
      <w:pPr>
        <w:pStyle w:val="Foot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8F7">
        <w:rPr>
          <w:rFonts w:ascii="Times New Roman" w:hAnsi="Times New Roman" w:cs="Times New Roman"/>
          <w:i/>
          <w:iCs/>
          <w:sz w:val="20"/>
          <w:szCs w:val="20"/>
        </w:rPr>
        <w:t xml:space="preserve">Submit according to the instructions provided in class. </w:t>
      </w:r>
      <w:r>
        <w:rPr>
          <w:rFonts w:ascii="Times New Roman" w:hAnsi="Times New Roman" w:cs="Times New Roman"/>
          <w:i/>
          <w:iCs/>
          <w:sz w:val="20"/>
          <w:szCs w:val="20"/>
        </w:rPr>
        <w:t>Grades will be provided after all Trading Assignments are completed near the end of the semester.</w:t>
      </w:r>
    </w:p>
    <w:sectPr w:rsidR="00C02B48" w:rsidRPr="00DF58CB" w:rsidSect="004128BC">
      <w:headerReference w:type="first" r:id="rId16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5311" w14:textId="77777777" w:rsidR="00007CA3" w:rsidRDefault="00007CA3" w:rsidP="009569D3">
      <w:pPr>
        <w:spacing w:after="0" w:line="240" w:lineRule="auto"/>
      </w:pPr>
      <w:r>
        <w:separator/>
      </w:r>
    </w:p>
  </w:endnote>
  <w:endnote w:type="continuationSeparator" w:id="0">
    <w:p w14:paraId="71123C70" w14:textId="77777777" w:rsidR="00007CA3" w:rsidRDefault="00007CA3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0F04" w14:textId="77777777" w:rsidR="00007CA3" w:rsidRDefault="00007CA3" w:rsidP="009569D3">
      <w:pPr>
        <w:spacing w:after="0" w:line="240" w:lineRule="auto"/>
      </w:pPr>
      <w:r>
        <w:separator/>
      </w:r>
    </w:p>
  </w:footnote>
  <w:footnote w:type="continuationSeparator" w:id="0">
    <w:p w14:paraId="52D79CEB" w14:textId="77777777" w:rsidR="00007CA3" w:rsidRDefault="00007CA3" w:rsidP="0095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B198" w14:textId="569F087E" w:rsidR="004128BC" w:rsidRPr="004128BC" w:rsidRDefault="004128BC">
    <w:pPr>
      <w:pStyle w:val="Header"/>
      <w:rPr>
        <w:rFonts w:ascii="Arial" w:hAnsi="Arial" w:cs="Arial"/>
      </w:rPr>
    </w:pPr>
    <w:r w:rsidRPr="004128BC">
      <w:rPr>
        <w:rFonts w:ascii="Arial" w:hAnsi="Arial" w:cs="Arial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03AD7"/>
    <w:rsid w:val="00007CA3"/>
    <w:rsid w:val="00027FD0"/>
    <w:rsid w:val="00044A39"/>
    <w:rsid w:val="00060935"/>
    <w:rsid w:val="0007253A"/>
    <w:rsid w:val="000750D7"/>
    <w:rsid w:val="00075BB5"/>
    <w:rsid w:val="00084D79"/>
    <w:rsid w:val="00094BF2"/>
    <w:rsid w:val="000B1EBA"/>
    <w:rsid w:val="000C5454"/>
    <w:rsid w:val="000D24B0"/>
    <w:rsid w:val="000D48FC"/>
    <w:rsid w:val="000E2128"/>
    <w:rsid w:val="000E2CF9"/>
    <w:rsid w:val="000E3F7B"/>
    <w:rsid w:val="000F35D2"/>
    <w:rsid w:val="000F7ECE"/>
    <w:rsid w:val="00100E2D"/>
    <w:rsid w:val="001031BC"/>
    <w:rsid w:val="001100C4"/>
    <w:rsid w:val="001217C7"/>
    <w:rsid w:val="0013572C"/>
    <w:rsid w:val="00136E53"/>
    <w:rsid w:val="001425D4"/>
    <w:rsid w:val="0014601C"/>
    <w:rsid w:val="0016289C"/>
    <w:rsid w:val="00181A75"/>
    <w:rsid w:val="001842C7"/>
    <w:rsid w:val="00194C16"/>
    <w:rsid w:val="001A170F"/>
    <w:rsid w:val="001A74FB"/>
    <w:rsid w:val="001B0F86"/>
    <w:rsid w:val="001D50AA"/>
    <w:rsid w:val="001E0084"/>
    <w:rsid w:val="001E0546"/>
    <w:rsid w:val="001E0BB3"/>
    <w:rsid w:val="001E197B"/>
    <w:rsid w:val="001E4A38"/>
    <w:rsid w:val="001E4C56"/>
    <w:rsid w:val="001F16A0"/>
    <w:rsid w:val="001F2297"/>
    <w:rsid w:val="001F789B"/>
    <w:rsid w:val="0020128B"/>
    <w:rsid w:val="00201BF9"/>
    <w:rsid w:val="00220EAA"/>
    <w:rsid w:val="0022403C"/>
    <w:rsid w:val="0023634B"/>
    <w:rsid w:val="00256FC5"/>
    <w:rsid w:val="002624D0"/>
    <w:rsid w:val="0026341C"/>
    <w:rsid w:val="002665F8"/>
    <w:rsid w:val="002724DB"/>
    <w:rsid w:val="00284CB4"/>
    <w:rsid w:val="00291488"/>
    <w:rsid w:val="002A2C64"/>
    <w:rsid w:val="002B0743"/>
    <w:rsid w:val="002B33E3"/>
    <w:rsid w:val="002B33E6"/>
    <w:rsid w:val="002C35B0"/>
    <w:rsid w:val="002D1840"/>
    <w:rsid w:val="002D68AC"/>
    <w:rsid w:val="002E4780"/>
    <w:rsid w:val="002F3681"/>
    <w:rsid w:val="002F578A"/>
    <w:rsid w:val="0030031C"/>
    <w:rsid w:val="003011F3"/>
    <w:rsid w:val="00303CAE"/>
    <w:rsid w:val="00304B7E"/>
    <w:rsid w:val="00312684"/>
    <w:rsid w:val="0033748A"/>
    <w:rsid w:val="00342AA7"/>
    <w:rsid w:val="00344F54"/>
    <w:rsid w:val="0034762B"/>
    <w:rsid w:val="003671E9"/>
    <w:rsid w:val="003678CB"/>
    <w:rsid w:val="003757DB"/>
    <w:rsid w:val="00385692"/>
    <w:rsid w:val="0039670D"/>
    <w:rsid w:val="003A1787"/>
    <w:rsid w:val="003A2445"/>
    <w:rsid w:val="003B566F"/>
    <w:rsid w:val="003B6C1F"/>
    <w:rsid w:val="003C0AB5"/>
    <w:rsid w:val="003D1396"/>
    <w:rsid w:val="003D203D"/>
    <w:rsid w:val="003D26DB"/>
    <w:rsid w:val="003F1D04"/>
    <w:rsid w:val="003F7C48"/>
    <w:rsid w:val="00400DB5"/>
    <w:rsid w:val="00402E51"/>
    <w:rsid w:val="00410D35"/>
    <w:rsid w:val="004128BC"/>
    <w:rsid w:val="004244DC"/>
    <w:rsid w:val="004246A1"/>
    <w:rsid w:val="00427ADB"/>
    <w:rsid w:val="00432F14"/>
    <w:rsid w:val="00434921"/>
    <w:rsid w:val="00434C7D"/>
    <w:rsid w:val="00451DCF"/>
    <w:rsid w:val="00457546"/>
    <w:rsid w:val="00472C52"/>
    <w:rsid w:val="004730B2"/>
    <w:rsid w:val="004759F9"/>
    <w:rsid w:val="00485283"/>
    <w:rsid w:val="00490E35"/>
    <w:rsid w:val="004937F4"/>
    <w:rsid w:val="004B46CD"/>
    <w:rsid w:val="004B690D"/>
    <w:rsid w:val="004B6E9B"/>
    <w:rsid w:val="004D0FA6"/>
    <w:rsid w:val="004D2CDB"/>
    <w:rsid w:val="004F28CA"/>
    <w:rsid w:val="004F2DC9"/>
    <w:rsid w:val="004F4DC4"/>
    <w:rsid w:val="0051569D"/>
    <w:rsid w:val="00521F1E"/>
    <w:rsid w:val="00525F31"/>
    <w:rsid w:val="00531ECC"/>
    <w:rsid w:val="0053734B"/>
    <w:rsid w:val="0055388E"/>
    <w:rsid w:val="0055540C"/>
    <w:rsid w:val="005578BF"/>
    <w:rsid w:val="005579BC"/>
    <w:rsid w:val="00567D1A"/>
    <w:rsid w:val="00574162"/>
    <w:rsid w:val="00574D8E"/>
    <w:rsid w:val="00586BB9"/>
    <w:rsid w:val="00595D42"/>
    <w:rsid w:val="005C20E7"/>
    <w:rsid w:val="005C6618"/>
    <w:rsid w:val="005D64E9"/>
    <w:rsid w:val="005E1BCB"/>
    <w:rsid w:val="005E4E8F"/>
    <w:rsid w:val="006069CF"/>
    <w:rsid w:val="00611EA5"/>
    <w:rsid w:val="006139A5"/>
    <w:rsid w:val="00623C20"/>
    <w:rsid w:val="00626BE4"/>
    <w:rsid w:val="00627904"/>
    <w:rsid w:val="0063291D"/>
    <w:rsid w:val="00633B70"/>
    <w:rsid w:val="00640F32"/>
    <w:rsid w:val="006559D3"/>
    <w:rsid w:val="0066034B"/>
    <w:rsid w:val="00661589"/>
    <w:rsid w:val="00665A6B"/>
    <w:rsid w:val="00683ECE"/>
    <w:rsid w:val="006872E9"/>
    <w:rsid w:val="006A1BD0"/>
    <w:rsid w:val="006A3FE5"/>
    <w:rsid w:val="006E505D"/>
    <w:rsid w:val="006F6F74"/>
    <w:rsid w:val="007049AD"/>
    <w:rsid w:val="00715727"/>
    <w:rsid w:val="00715F28"/>
    <w:rsid w:val="007237FE"/>
    <w:rsid w:val="00732949"/>
    <w:rsid w:val="0073567F"/>
    <w:rsid w:val="00737023"/>
    <w:rsid w:val="007524DA"/>
    <w:rsid w:val="00754BBB"/>
    <w:rsid w:val="00755026"/>
    <w:rsid w:val="00767376"/>
    <w:rsid w:val="00771440"/>
    <w:rsid w:val="00775946"/>
    <w:rsid w:val="00781157"/>
    <w:rsid w:val="00782F1E"/>
    <w:rsid w:val="00783F87"/>
    <w:rsid w:val="007907CB"/>
    <w:rsid w:val="007A3B9F"/>
    <w:rsid w:val="007A6CAA"/>
    <w:rsid w:val="007B6FAC"/>
    <w:rsid w:val="007B7EB3"/>
    <w:rsid w:val="007F0CFE"/>
    <w:rsid w:val="00803623"/>
    <w:rsid w:val="00804102"/>
    <w:rsid w:val="00806B23"/>
    <w:rsid w:val="00815ABF"/>
    <w:rsid w:val="0081654F"/>
    <w:rsid w:val="00816A84"/>
    <w:rsid w:val="00823F93"/>
    <w:rsid w:val="008270F1"/>
    <w:rsid w:val="00840EBE"/>
    <w:rsid w:val="00856950"/>
    <w:rsid w:val="008606DA"/>
    <w:rsid w:val="00860F60"/>
    <w:rsid w:val="00866272"/>
    <w:rsid w:val="00871FAB"/>
    <w:rsid w:val="00893744"/>
    <w:rsid w:val="00896349"/>
    <w:rsid w:val="008A278A"/>
    <w:rsid w:val="008A485A"/>
    <w:rsid w:val="008A6F48"/>
    <w:rsid w:val="008B3757"/>
    <w:rsid w:val="008B5223"/>
    <w:rsid w:val="008C2C35"/>
    <w:rsid w:val="008D5295"/>
    <w:rsid w:val="008D54CB"/>
    <w:rsid w:val="008E4403"/>
    <w:rsid w:val="008F0BD3"/>
    <w:rsid w:val="008F4591"/>
    <w:rsid w:val="008F6CCD"/>
    <w:rsid w:val="00912B1F"/>
    <w:rsid w:val="00913E3F"/>
    <w:rsid w:val="00925D9A"/>
    <w:rsid w:val="009266DD"/>
    <w:rsid w:val="00927A70"/>
    <w:rsid w:val="009472FE"/>
    <w:rsid w:val="00952C16"/>
    <w:rsid w:val="00954718"/>
    <w:rsid w:val="009569D3"/>
    <w:rsid w:val="009621AA"/>
    <w:rsid w:val="00963D24"/>
    <w:rsid w:val="009645C9"/>
    <w:rsid w:val="00965E59"/>
    <w:rsid w:val="00981D02"/>
    <w:rsid w:val="00983EE3"/>
    <w:rsid w:val="00984CD7"/>
    <w:rsid w:val="009921EE"/>
    <w:rsid w:val="009B11CB"/>
    <w:rsid w:val="009B2E66"/>
    <w:rsid w:val="009B3B66"/>
    <w:rsid w:val="009C4434"/>
    <w:rsid w:val="009F1431"/>
    <w:rsid w:val="00A23F2B"/>
    <w:rsid w:val="00A32E04"/>
    <w:rsid w:val="00A4504B"/>
    <w:rsid w:val="00A602B8"/>
    <w:rsid w:val="00A61288"/>
    <w:rsid w:val="00A645B7"/>
    <w:rsid w:val="00A70D74"/>
    <w:rsid w:val="00A7170D"/>
    <w:rsid w:val="00A7211B"/>
    <w:rsid w:val="00A75838"/>
    <w:rsid w:val="00A760E6"/>
    <w:rsid w:val="00A93A33"/>
    <w:rsid w:val="00AB32E9"/>
    <w:rsid w:val="00AB59B9"/>
    <w:rsid w:val="00AD37C7"/>
    <w:rsid w:val="00AE10A6"/>
    <w:rsid w:val="00AF5BA4"/>
    <w:rsid w:val="00B11D27"/>
    <w:rsid w:val="00B1676F"/>
    <w:rsid w:val="00B23816"/>
    <w:rsid w:val="00B42F3F"/>
    <w:rsid w:val="00B4407A"/>
    <w:rsid w:val="00B51661"/>
    <w:rsid w:val="00B56316"/>
    <w:rsid w:val="00B904A7"/>
    <w:rsid w:val="00B963D2"/>
    <w:rsid w:val="00BB2EF0"/>
    <w:rsid w:val="00BB2F0A"/>
    <w:rsid w:val="00BB3C69"/>
    <w:rsid w:val="00BB410C"/>
    <w:rsid w:val="00BB7EA2"/>
    <w:rsid w:val="00BD522A"/>
    <w:rsid w:val="00BD5E49"/>
    <w:rsid w:val="00BE32D8"/>
    <w:rsid w:val="00BF4A91"/>
    <w:rsid w:val="00C0283D"/>
    <w:rsid w:val="00C02B48"/>
    <w:rsid w:val="00C1082D"/>
    <w:rsid w:val="00C24C42"/>
    <w:rsid w:val="00C41204"/>
    <w:rsid w:val="00C452D0"/>
    <w:rsid w:val="00C508C4"/>
    <w:rsid w:val="00C54F6D"/>
    <w:rsid w:val="00C7088F"/>
    <w:rsid w:val="00C75848"/>
    <w:rsid w:val="00C8113D"/>
    <w:rsid w:val="00C822FA"/>
    <w:rsid w:val="00C8624B"/>
    <w:rsid w:val="00CA5DBA"/>
    <w:rsid w:val="00CC4EA6"/>
    <w:rsid w:val="00CE23E7"/>
    <w:rsid w:val="00CE2542"/>
    <w:rsid w:val="00CF1041"/>
    <w:rsid w:val="00CF2FF5"/>
    <w:rsid w:val="00CF3277"/>
    <w:rsid w:val="00CF4256"/>
    <w:rsid w:val="00D00A01"/>
    <w:rsid w:val="00D00A9B"/>
    <w:rsid w:val="00D20825"/>
    <w:rsid w:val="00D33040"/>
    <w:rsid w:val="00D45D3D"/>
    <w:rsid w:val="00D55EBA"/>
    <w:rsid w:val="00D60ADE"/>
    <w:rsid w:val="00D62D96"/>
    <w:rsid w:val="00D64D7F"/>
    <w:rsid w:val="00D65F44"/>
    <w:rsid w:val="00D75572"/>
    <w:rsid w:val="00D80E1F"/>
    <w:rsid w:val="00DA2073"/>
    <w:rsid w:val="00DA28F7"/>
    <w:rsid w:val="00DA4736"/>
    <w:rsid w:val="00DA53A0"/>
    <w:rsid w:val="00DA6071"/>
    <w:rsid w:val="00DA7DD4"/>
    <w:rsid w:val="00DB2148"/>
    <w:rsid w:val="00DB7585"/>
    <w:rsid w:val="00DD1962"/>
    <w:rsid w:val="00DD1D8B"/>
    <w:rsid w:val="00DD38ED"/>
    <w:rsid w:val="00DE0C8F"/>
    <w:rsid w:val="00DE1D8E"/>
    <w:rsid w:val="00DE4A2B"/>
    <w:rsid w:val="00DF58CB"/>
    <w:rsid w:val="00E0552C"/>
    <w:rsid w:val="00E20A36"/>
    <w:rsid w:val="00E25FB7"/>
    <w:rsid w:val="00E43D28"/>
    <w:rsid w:val="00E46D02"/>
    <w:rsid w:val="00E558FD"/>
    <w:rsid w:val="00E723FC"/>
    <w:rsid w:val="00E73879"/>
    <w:rsid w:val="00E75180"/>
    <w:rsid w:val="00E75BA4"/>
    <w:rsid w:val="00E82F6B"/>
    <w:rsid w:val="00E84A6D"/>
    <w:rsid w:val="00E925E9"/>
    <w:rsid w:val="00EA022E"/>
    <w:rsid w:val="00EA5C4A"/>
    <w:rsid w:val="00EB0B40"/>
    <w:rsid w:val="00EB4E63"/>
    <w:rsid w:val="00EC2C05"/>
    <w:rsid w:val="00F05909"/>
    <w:rsid w:val="00F14339"/>
    <w:rsid w:val="00F22816"/>
    <w:rsid w:val="00F23B24"/>
    <w:rsid w:val="00F27F9D"/>
    <w:rsid w:val="00F328B4"/>
    <w:rsid w:val="00F3560C"/>
    <w:rsid w:val="00F369A7"/>
    <w:rsid w:val="00F37A2E"/>
    <w:rsid w:val="00F441E5"/>
    <w:rsid w:val="00F52668"/>
    <w:rsid w:val="00F56064"/>
    <w:rsid w:val="00F560C0"/>
    <w:rsid w:val="00F75DE8"/>
    <w:rsid w:val="00F859A6"/>
    <w:rsid w:val="00F91B3A"/>
    <w:rsid w:val="00F92C3E"/>
    <w:rsid w:val="00FA0158"/>
    <w:rsid w:val="00FA38CD"/>
    <w:rsid w:val="00FA5066"/>
    <w:rsid w:val="00FC34A1"/>
    <w:rsid w:val="00FC4B03"/>
    <w:rsid w:val="00FD3D0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sdaq.com/articles/pros-and-cons-and-out-money-options-2018-12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c.gov/oiea/investor-alerts-bulletins/ib_introductionop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daq.com/articles/pros-and-cons-and-out-money-options-2018-12-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hyperlink" Target="https://www.sec.gov/oiea/investor-alerts-bulletins/ib_introductionop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578-E025-44D1-934D-D7857E1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</cp:lastModifiedBy>
  <cp:revision>52</cp:revision>
  <dcterms:created xsi:type="dcterms:W3CDTF">2022-06-01T22:37:00Z</dcterms:created>
  <dcterms:modified xsi:type="dcterms:W3CDTF">2022-10-02T13:28:00Z</dcterms:modified>
</cp:coreProperties>
</file>