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D779F" w14:textId="4DE81AC0" w:rsidR="00BB2F0A" w:rsidRPr="00156F12" w:rsidRDefault="008E117E" w:rsidP="008E117E">
      <w:pPr>
        <w:tabs>
          <w:tab w:val="left" w:pos="1477"/>
        </w:tabs>
        <w:jc w:val="center"/>
        <w:rPr>
          <w:rFonts w:ascii="Times New Roman" w:hAnsi="Times New Roman" w:cs="Times New Roman"/>
          <w:b/>
          <w:smallCaps/>
          <w:color w:val="000000" w:themeColor="text1"/>
          <w:sz w:val="48"/>
        </w:rPr>
      </w:pPr>
      <w:r w:rsidRPr="00156F12">
        <w:rPr>
          <w:rFonts w:ascii="Times New Roman" w:hAnsi="Times New Roman" w:cs="Times New Roman"/>
          <w:b/>
          <w:smallCaps/>
          <w:color w:val="000000" w:themeColor="text1"/>
          <w:sz w:val="56"/>
          <w:szCs w:val="56"/>
        </w:rPr>
        <w:t>Trading Assignment 5</w:t>
      </w:r>
    </w:p>
    <w:p w14:paraId="695A8E27" w14:textId="55AEF2DF" w:rsidR="00BB2F0A" w:rsidRPr="00FD06EA" w:rsidRDefault="00003AD7" w:rsidP="00BB2F0A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 xml:space="preserve">Updates On </w:t>
      </w:r>
      <w:r w:rsidR="000710A2">
        <w:rPr>
          <w:rFonts w:ascii="Times New Roman" w:hAnsi="Times New Roman" w:cs="Times New Roman"/>
          <w:b/>
          <w:smallCaps/>
          <w:color w:val="990000"/>
          <w:sz w:val="32"/>
        </w:rPr>
        <w:t xml:space="preserve">Your </w:t>
      </w:r>
      <w:r>
        <w:rPr>
          <w:rFonts w:ascii="Times New Roman" w:hAnsi="Times New Roman" w:cs="Times New Roman"/>
          <w:b/>
          <w:smallCaps/>
          <w:color w:val="990000"/>
          <w:sz w:val="32"/>
        </w:rPr>
        <w:t>Portfolio</w:t>
      </w:r>
    </w:p>
    <w:p w14:paraId="4E279F36" w14:textId="2B6244A8" w:rsidR="00823459" w:rsidRDefault="00823459" w:rsidP="001E0084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Record the value of each of your ETF and mutual fund investments in the table below. </w:t>
      </w:r>
      <w:bookmarkStart w:id="0" w:name="_Hlk105843476"/>
      <w:r>
        <w:rPr>
          <w:rFonts w:ascii="Times New Roman" w:hAnsi="Times New Roman" w:cs="Times New Roman"/>
          <w:bCs/>
          <w:sz w:val="24"/>
          <w:szCs w:val="24"/>
        </w:rPr>
        <w:t>Notice how the short position is recorded as a negative: for LLSV, I “owed” $11,000 at the time of the short, and now I only “owe” the broker $6,000 because the share price has fallen.</w:t>
      </w:r>
    </w:p>
    <w:bookmarkEnd w:id="0"/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2425"/>
        <w:gridCol w:w="1170"/>
        <w:gridCol w:w="1890"/>
        <w:gridCol w:w="1620"/>
        <w:gridCol w:w="2430"/>
      </w:tblGrid>
      <w:tr w:rsidR="00695804" w14:paraId="122E834A" w14:textId="51B74EA7" w:rsidTr="00C041B6">
        <w:tc>
          <w:tcPr>
            <w:tcW w:w="2425" w:type="dxa"/>
          </w:tcPr>
          <w:p w14:paraId="4E271D7A" w14:textId="77777777" w:rsidR="00695804" w:rsidRPr="00C041B6" w:rsidRDefault="00695804" w:rsidP="00ED13D1">
            <w:pPr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70" w:type="dxa"/>
          </w:tcPr>
          <w:p w14:paraId="4DA2BC8B" w14:textId="4C19CC60" w:rsidR="00695804" w:rsidRPr="00C041B6" w:rsidRDefault="00695804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1B6">
              <w:rPr>
                <w:rFonts w:ascii="Times New Roman" w:hAnsi="Times New Roman" w:cs="Times New Roman"/>
                <w:b/>
                <w:bCs/>
              </w:rPr>
              <w:t>Ticker</w:t>
            </w:r>
          </w:p>
        </w:tc>
        <w:tc>
          <w:tcPr>
            <w:tcW w:w="1890" w:type="dxa"/>
          </w:tcPr>
          <w:p w14:paraId="6C064A84" w14:textId="6903EBBA" w:rsidR="00695804" w:rsidRPr="00C041B6" w:rsidRDefault="00823459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1B6">
              <w:rPr>
                <w:rFonts w:ascii="Times New Roman" w:hAnsi="Times New Roman" w:cs="Times New Roman"/>
                <w:b/>
                <w:bCs/>
              </w:rPr>
              <w:t>Amount Invested</w:t>
            </w:r>
          </w:p>
        </w:tc>
        <w:tc>
          <w:tcPr>
            <w:tcW w:w="1620" w:type="dxa"/>
          </w:tcPr>
          <w:p w14:paraId="7C779225" w14:textId="7B7AAB89" w:rsidR="00695804" w:rsidRPr="00C041B6" w:rsidRDefault="00823459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1B6">
              <w:rPr>
                <w:rFonts w:ascii="Times New Roman" w:hAnsi="Times New Roman" w:cs="Times New Roman"/>
                <w:b/>
                <w:bCs/>
              </w:rPr>
              <w:t>Current Value</w:t>
            </w:r>
          </w:p>
        </w:tc>
        <w:tc>
          <w:tcPr>
            <w:tcW w:w="2430" w:type="dxa"/>
          </w:tcPr>
          <w:p w14:paraId="0051402D" w14:textId="56986566" w:rsidR="00695804" w:rsidRPr="00C041B6" w:rsidRDefault="00B51C18" w:rsidP="00ED13D1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041B6">
              <w:rPr>
                <w:rFonts w:ascii="Times New Roman" w:hAnsi="Times New Roman" w:cs="Times New Roman"/>
                <w:b/>
                <w:bCs/>
              </w:rPr>
              <w:t>Date and Time</w:t>
            </w:r>
          </w:p>
        </w:tc>
      </w:tr>
      <w:tr w:rsidR="00823459" w14:paraId="722E8692" w14:textId="4817BA37" w:rsidTr="00C041B6">
        <w:tc>
          <w:tcPr>
            <w:tcW w:w="2425" w:type="dxa"/>
          </w:tcPr>
          <w:p w14:paraId="1D6F6C73" w14:textId="43427D4B" w:rsidR="00823459" w:rsidRPr="00C041B6" w:rsidRDefault="00823459" w:rsidP="00823459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Long ETF</w:t>
            </w:r>
          </w:p>
        </w:tc>
        <w:tc>
          <w:tcPr>
            <w:tcW w:w="1170" w:type="dxa"/>
          </w:tcPr>
          <w:p w14:paraId="56A044F4" w14:textId="780F9C44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SIIT</w:t>
            </w:r>
          </w:p>
        </w:tc>
        <w:tc>
          <w:tcPr>
            <w:tcW w:w="1890" w:type="dxa"/>
          </w:tcPr>
          <w:p w14:paraId="46EB516B" w14:textId="6BF6938E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$12,000</w:t>
            </w:r>
          </w:p>
        </w:tc>
        <w:tc>
          <w:tcPr>
            <w:tcW w:w="1620" w:type="dxa"/>
          </w:tcPr>
          <w:p w14:paraId="17996118" w14:textId="065BE387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$11,000</w:t>
            </w:r>
          </w:p>
        </w:tc>
        <w:tc>
          <w:tcPr>
            <w:tcW w:w="2430" w:type="dxa"/>
          </w:tcPr>
          <w:p w14:paraId="514FAED7" w14:textId="09BAA387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9/20/2022 @ 9:45am</w:t>
            </w:r>
          </w:p>
        </w:tc>
      </w:tr>
      <w:tr w:rsidR="00823459" w14:paraId="303AD515" w14:textId="78F354AE" w:rsidTr="00C041B6">
        <w:tc>
          <w:tcPr>
            <w:tcW w:w="2425" w:type="dxa"/>
          </w:tcPr>
          <w:p w14:paraId="7DED795C" w14:textId="3E8614B0" w:rsidR="00823459" w:rsidRPr="00C041B6" w:rsidRDefault="00823459" w:rsidP="00823459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Short ETF</w:t>
            </w:r>
          </w:p>
        </w:tc>
        <w:tc>
          <w:tcPr>
            <w:tcW w:w="1170" w:type="dxa"/>
          </w:tcPr>
          <w:p w14:paraId="1A55B509" w14:textId="478C9702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LLSV</w:t>
            </w:r>
          </w:p>
        </w:tc>
        <w:tc>
          <w:tcPr>
            <w:tcW w:w="1890" w:type="dxa"/>
          </w:tcPr>
          <w:p w14:paraId="3CC544AA" w14:textId="05B17685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-$11,000</w:t>
            </w:r>
          </w:p>
        </w:tc>
        <w:tc>
          <w:tcPr>
            <w:tcW w:w="1620" w:type="dxa"/>
          </w:tcPr>
          <w:p w14:paraId="3AFA527A" w14:textId="47D919DB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-$6,000</w:t>
            </w:r>
          </w:p>
        </w:tc>
        <w:tc>
          <w:tcPr>
            <w:tcW w:w="2430" w:type="dxa"/>
          </w:tcPr>
          <w:p w14:paraId="2A048A9A" w14:textId="63E4B5A4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9/20/2022 @ 9:50am</w:t>
            </w:r>
          </w:p>
        </w:tc>
      </w:tr>
      <w:tr w:rsidR="00823459" w14:paraId="4F9209B3" w14:textId="77777777" w:rsidTr="00C041B6">
        <w:tc>
          <w:tcPr>
            <w:tcW w:w="2425" w:type="dxa"/>
          </w:tcPr>
          <w:p w14:paraId="22B8E312" w14:textId="37FDB3AB" w:rsidR="00823459" w:rsidRPr="00C041B6" w:rsidRDefault="00823459" w:rsidP="00823459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ESG ETF</w:t>
            </w:r>
          </w:p>
        </w:tc>
        <w:tc>
          <w:tcPr>
            <w:tcW w:w="1170" w:type="dxa"/>
          </w:tcPr>
          <w:p w14:paraId="29EBDD2B" w14:textId="2D20B4EB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JDWF</w:t>
            </w:r>
          </w:p>
        </w:tc>
        <w:tc>
          <w:tcPr>
            <w:tcW w:w="1890" w:type="dxa"/>
          </w:tcPr>
          <w:p w14:paraId="589073DD" w14:textId="51C47E6C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$10,010</w:t>
            </w:r>
          </w:p>
        </w:tc>
        <w:tc>
          <w:tcPr>
            <w:tcW w:w="1620" w:type="dxa"/>
          </w:tcPr>
          <w:p w14:paraId="38B9DCCC" w14:textId="46905043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$14,500</w:t>
            </w:r>
          </w:p>
        </w:tc>
        <w:tc>
          <w:tcPr>
            <w:tcW w:w="2430" w:type="dxa"/>
          </w:tcPr>
          <w:p w14:paraId="4D584D15" w14:textId="5E0197E6" w:rsidR="00823459" w:rsidRPr="00C041B6" w:rsidRDefault="00823459" w:rsidP="00823459">
            <w:pPr>
              <w:jc w:val="center"/>
              <w:rPr>
                <w:rFonts w:ascii="Times New Roman" w:hAnsi="Times New Roman" w:cs="Times New Roman"/>
                <w:b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9/20/2022 @ 9:55am</w:t>
            </w:r>
          </w:p>
        </w:tc>
      </w:tr>
      <w:tr w:rsidR="00695804" w14:paraId="3BD8687B" w14:textId="0B46054C" w:rsidTr="00C041B6">
        <w:tc>
          <w:tcPr>
            <w:tcW w:w="2425" w:type="dxa"/>
          </w:tcPr>
          <w:p w14:paraId="5C0D5A66" w14:textId="19574F19" w:rsidR="00695804" w:rsidRPr="00C041B6" w:rsidRDefault="00823459" w:rsidP="00695804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Active Mutual Fund</w:t>
            </w:r>
          </w:p>
        </w:tc>
        <w:tc>
          <w:tcPr>
            <w:tcW w:w="1170" w:type="dxa"/>
          </w:tcPr>
          <w:p w14:paraId="0751D7BF" w14:textId="2605B18F" w:rsidR="00695804" w:rsidRPr="00C041B6" w:rsidRDefault="00B51C18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ADGJ</w:t>
            </w:r>
          </w:p>
        </w:tc>
        <w:tc>
          <w:tcPr>
            <w:tcW w:w="1890" w:type="dxa"/>
          </w:tcPr>
          <w:p w14:paraId="1B2C33C8" w14:textId="73FE8591" w:rsidR="00695804" w:rsidRPr="00C041B6" w:rsidRDefault="00B51C18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$10,000</w:t>
            </w:r>
          </w:p>
        </w:tc>
        <w:tc>
          <w:tcPr>
            <w:tcW w:w="1620" w:type="dxa"/>
          </w:tcPr>
          <w:p w14:paraId="544A2774" w14:textId="2CFCAB5F" w:rsidR="00695804" w:rsidRPr="00C041B6" w:rsidRDefault="00B51C18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$9,000</w:t>
            </w:r>
          </w:p>
        </w:tc>
        <w:tc>
          <w:tcPr>
            <w:tcW w:w="2430" w:type="dxa"/>
          </w:tcPr>
          <w:p w14:paraId="1845F5CD" w14:textId="2BD43C71" w:rsidR="00695804" w:rsidRPr="00C041B6" w:rsidRDefault="00B51C18" w:rsidP="00695804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 w:rsidRPr="00C041B6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9/20/2022 @ 10:00am</w:t>
            </w:r>
          </w:p>
        </w:tc>
      </w:tr>
      <w:tr w:rsidR="00B51C18" w14:paraId="022626FF" w14:textId="4EF36DFF" w:rsidTr="00C041B6">
        <w:tc>
          <w:tcPr>
            <w:tcW w:w="2425" w:type="dxa"/>
          </w:tcPr>
          <w:p w14:paraId="782CFA44" w14:textId="76E5A0BF" w:rsidR="00B51C18" w:rsidRPr="00C041B6" w:rsidRDefault="00B51C18" w:rsidP="00B51C18">
            <w:pPr>
              <w:rPr>
                <w:rFonts w:ascii="Times New Roman" w:hAnsi="Times New Roman" w:cs="Times New Roman"/>
                <w:bCs/>
              </w:rPr>
            </w:pPr>
            <w:r w:rsidRPr="00C041B6">
              <w:rPr>
                <w:rFonts w:ascii="Times New Roman" w:hAnsi="Times New Roman" w:cs="Times New Roman"/>
                <w:bCs/>
              </w:rPr>
              <w:t>Long ETF</w:t>
            </w:r>
          </w:p>
        </w:tc>
        <w:tc>
          <w:tcPr>
            <w:tcW w:w="1170" w:type="dxa"/>
          </w:tcPr>
          <w:p w14:paraId="7089FCC2" w14:textId="56C8B8A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00342358" w14:textId="3A395DFE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106808CC" w14:textId="45ED433D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6BCFB623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51C18" w14:paraId="625762C3" w14:textId="77777777" w:rsidTr="00C041B6">
        <w:tc>
          <w:tcPr>
            <w:tcW w:w="2425" w:type="dxa"/>
          </w:tcPr>
          <w:p w14:paraId="67ECA683" w14:textId="6254A80F" w:rsidR="00B51C18" w:rsidRPr="00C041B6" w:rsidRDefault="00B51C18" w:rsidP="00B51C18">
            <w:pPr>
              <w:rPr>
                <w:rFonts w:ascii="Times New Roman" w:hAnsi="Times New Roman" w:cs="Times New Roman"/>
                <w:bCs/>
              </w:rPr>
            </w:pPr>
            <w:r w:rsidRPr="00C041B6">
              <w:rPr>
                <w:rFonts w:ascii="Times New Roman" w:hAnsi="Times New Roman" w:cs="Times New Roman"/>
                <w:bCs/>
              </w:rPr>
              <w:t>Short ETF</w:t>
            </w:r>
          </w:p>
        </w:tc>
        <w:tc>
          <w:tcPr>
            <w:tcW w:w="1170" w:type="dxa"/>
          </w:tcPr>
          <w:p w14:paraId="7CBCDEA1" w14:textId="6D60CA43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74B5CE08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7DADF95F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1644A414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51C18" w14:paraId="46CF53A0" w14:textId="77777777" w:rsidTr="00C041B6">
        <w:tc>
          <w:tcPr>
            <w:tcW w:w="2425" w:type="dxa"/>
          </w:tcPr>
          <w:p w14:paraId="28DCEA71" w14:textId="64C03E35" w:rsidR="00B51C18" w:rsidRPr="00C041B6" w:rsidRDefault="00B51C18" w:rsidP="00B51C18">
            <w:pPr>
              <w:rPr>
                <w:rFonts w:ascii="Times New Roman" w:hAnsi="Times New Roman" w:cs="Times New Roman"/>
                <w:bCs/>
              </w:rPr>
            </w:pPr>
            <w:r w:rsidRPr="00C041B6">
              <w:rPr>
                <w:rFonts w:ascii="Times New Roman" w:hAnsi="Times New Roman" w:cs="Times New Roman"/>
                <w:bCs/>
              </w:rPr>
              <w:t>ESG ETF</w:t>
            </w:r>
          </w:p>
        </w:tc>
        <w:tc>
          <w:tcPr>
            <w:tcW w:w="1170" w:type="dxa"/>
          </w:tcPr>
          <w:p w14:paraId="3E1AA820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1FB09A82" w14:textId="42058611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5524409F" w14:textId="692B6D1B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6ACFF3F8" w14:textId="353C6640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  <w:tr w:rsidR="00B51C18" w14:paraId="3C64F6E8" w14:textId="77777777" w:rsidTr="00C041B6">
        <w:tc>
          <w:tcPr>
            <w:tcW w:w="2425" w:type="dxa"/>
          </w:tcPr>
          <w:p w14:paraId="72EBDE68" w14:textId="3E1F73A3" w:rsidR="00B51C18" w:rsidRPr="00C041B6" w:rsidRDefault="00B51C18" w:rsidP="00B51C18">
            <w:pPr>
              <w:rPr>
                <w:rFonts w:ascii="Times New Roman" w:hAnsi="Times New Roman" w:cs="Times New Roman"/>
                <w:bCs/>
              </w:rPr>
            </w:pPr>
            <w:r w:rsidRPr="00C041B6">
              <w:rPr>
                <w:rFonts w:ascii="Times New Roman" w:hAnsi="Times New Roman" w:cs="Times New Roman"/>
                <w:bCs/>
              </w:rPr>
              <w:t>Active Mutual Fund</w:t>
            </w:r>
          </w:p>
        </w:tc>
        <w:tc>
          <w:tcPr>
            <w:tcW w:w="1170" w:type="dxa"/>
          </w:tcPr>
          <w:p w14:paraId="5DC02F3F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890" w:type="dxa"/>
          </w:tcPr>
          <w:p w14:paraId="30E15A48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620" w:type="dxa"/>
          </w:tcPr>
          <w:p w14:paraId="50514031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2430" w:type="dxa"/>
          </w:tcPr>
          <w:p w14:paraId="58186EF1" w14:textId="77777777" w:rsidR="00B51C18" w:rsidRPr="00C041B6" w:rsidRDefault="00B51C18" w:rsidP="00B51C18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5C463D4C" w14:textId="77777777" w:rsidR="00C041B6" w:rsidRDefault="00C041B6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4D3142D8" w14:textId="5E2D09D4" w:rsidR="00B75E9F" w:rsidRDefault="00C041B6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6688AA69" wp14:editId="2115CA81">
            <wp:simplePos x="0" y="0"/>
            <wp:positionH relativeFrom="column">
              <wp:posOffset>-40640</wp:posOffset>
            </wp:positionH>
            <wp:positionV relativeFrom="paragraph">
              <wp:posOffset>264947</wp:posOffset>
            </wp:positionV>
            <wp:extent cx="431800" cy="431800"/>
            <wp:effectExtent l="0" t="0" r="0" b="0"/>
            <wp:wrapTight wrapText="bothSides">
              <wp:wrapPolygon edited="0">
                <wp:start x="2859" y="2859"/>
                <wp:lineTo x="2859" y="18106"/>
                <wp:lineTo x="18106" y="18106"/>
                <wp:lineTo x="18106" y="2859"/>
                <wp:lineTo x="2859" y="2859"/>
              </wp:wrapPolygon>
            </wp:wrapTight>
            <wp:docPr id="4" name="Graphic 4" descr="Checkbox Checked with solid fi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Checkbox Checked with solid fill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8D6AD43" w14:textId="24374C04" w:rsidR="00B51C18" w:rsidRDefault="00E613EF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Y</w:t>
      </w:r>
      <w:r w:rsidR="00B51C18">
        <w:rPr>
          <w:rFonts w:ascii="Times New Roman" w:hAnsi="Times New Roman" w:cs="Times New Roman"/>
          <w:bCs/>
          <w:sz w:val="24"/>
          <w:szCs w:val="24"/>
        </w:rPr>
        <w:t xml:space="preserve">ou are free to exit any of the ETF and mutual fund positions at </w:t>
      </w:r>
      <w:r w:rsidR="00C041B6">
        <w:rPr>
          <w:rFonts w:ascii="Times New Roman" w:hAnsi="Times New Roman" w:cs="Times New Roman"/>
          <w:bCs/>
          <w:sz w:val="24"/>
          <w:szCs w:val="24"/>
        </w:rPr>
        <w:t>this point or any time during the semester.</w:t>
      </w:r>
    </w:p>
    <w:p w14:paraId="2322A99F" w14:textId="79E667BD" w:rsidR="00C041B6" w:rsidRDefault="00C041B6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7B08BB7" w14:textId="6BE1F613" w:rsidR="00B51C18" w:rsidRDefault="00E95DD2" w:rsidP="00FD3D0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Complete the table below with the current value of your total portfolio as well as the total percentage change.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615"/>
        <w:gridCol w:w="1260"/>
        <w:gridCol w:w="1440"/>
        <w:gridCol w:w="1350"/>
        <w:gridCol w:w="1440"/>
        <w:gridCol w:w="2430"/>
      </w:tblGrid>
      <w:tr w:rsidR="00F85302" w14:paraId="3C2E4297" w14:textId="77777777" w:rsidTr="00F85302">
        <w:tc>
          <w:tcPr>
            <w:tcW w:w="1615" w:type="dxa"/>
          </w:tcPr>
          <w:p w14:paraId="79ABCAF8" w14:textId="77777777" w:rsidR="00F85302" w:rsidRDefault="00F85302" w:rsidP="00B20EF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260" w:type="dxa"/>
          </w:tcPr>
          <w:p w14:paraId="241F5595" w14:textId="08A01938" w:rsidR="00F85302" w:rsidRPr="0014601C" w:rsidRDefault="00F85302" w:rsidP="00B2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Original Investment</w:t>
            </w:r>
          </w:p>
        </w:tc>
        <w:tc>
          <w:tcPr>
            <w:tcW w:w="1440" w:type="dxa"/>
          </w:tcPr>
          <w:p w14:paraId="6122F078" w14:textId="00F436B7" w:rsidR="00F85302" w:rsidRPr="0014601C" w:rsidRDefault="00F85302" w:rsidP="00B2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Current Value</w:t>
            </w:r>
          </w:p>
        </w:tc>
        <w:tc>
          <w:tcPr>
            <w:tcW w:w="1350" w:type="dxa"/>
          </w:tcPr>
          <w:p w14:paraId="4E9690CB" w14:textId="26008C9A" w:rsidR="00F85302" w:rsidRPr="0014601C" w:rsidRDefault="00F85302" w:rsidP="00B2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Percent Change</w:t>
            </w:r>
          </w:p>
        </w:tc>
        <w:tc>
          <w:tcPr>
            <w:tcW w:w="1440" w:type="dxa"/>
          </w:tcPr>
          <w:p w14:paraId="093BE953" w14:textId="65AAC77B" w:rsidR="00F85302" w:rsidRDefault="00F85302" w:rsidP="00B2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Overall Rank</w:t>
            </w:r>
          </w:p>
        </w:tc>
        <w:tc>
          <w:tcPr>
            <w:tcW w:w="2430" w:type="dxa"/>
          </w:tcPr>
          <w:p w14:paraId="63868F24" w14:textId="0DE0EEF5" w:rsidR="00F85302" w:rsidRPr="0014601C" w:rsidRDefault="00F85302" w:rsidP="00B20EF1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Date and Time</w:t>
            </w:r>
          </w:p>
        </w:tc>
      </w:tr>
      <w:tr w:rsidR="00F85302" w14:paraId="1D51B91C" w14:textId="77777777" w:rsidTr="00F85302">
        <w:tc>
          <w:tcPr>
            <w:tcW w:w="1615" w:type="dxa"/>
          </w:tcPr>
          <w:p w14:paraId="55BD693B" w14:textId="7A5E0762" w:rsidR="00F85302" w:rsidRPr="00983EE3" w:rsidRDefault="00F85302" w:rsidP="00B20EF1">
            <w:pP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Portfolio Value</w:t>
            </w:r>
          </w:p>
        </w:tc>
        <w:tc>
          <w:tcPr>
            <w:tcW w:w="1260" w:type="dxa"/>
          </w:tcPr>
          <w:p w14:paraId="2D7E0C18" w14:textId="33E3B4E4" w:rsidR="00F85302" w:rsidRPr="00983EE3" w:rsidRDefault="00F85302" w:rsidP="00B20EF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$250,000</w:t>
            </w:r>
          </w:p>
        </w:tc>
        <w:tc>
          <w:tcPr>
            <w:tcW w:w="1440" w:type="dxa"/>
          </w:tcPr>
          <w:p w14:paraId="57A2C3EB" w14:textId="419F6153" w:rsidR="00F85302" w:rsidRPr="00983EE3" w:rsidRDefault="00F85302" w:rsidP="00B20EF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$258,945</w:t>
            </w:r>
          </w:p>
        </w:tc>
        <w:tc>
          <w:tcPr>
            <w:tcW w:w="1350" w:type="dxa"/>
          </w:tcPr>
          <w:p w14:paraId="5E7AD61F" w14:textId="50AC0C5F" w:rsidR="00F85302" w:rsidRPr="00983EE3" w:rsidRDefault="00F85302" w:rsidP="00B20EF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  <w:t>3.58%</w:t>
            </w:r>
          </w:p>
        </w:tc>
        <w:tc>
          <w:tcPr>
            <w:tcW w:w="1440" w:type="dxa"/>
          </w:tcPr>
          <w:p w14:paraId="01CC6B8D" w14:textId="2447D50F" w:rsidR="00F85302" w:rsidRDefault="00F85302" w:rsidP="00B20EF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#18</w:t>
            </w:r>
          </w:p>
        </w:tc>
        <w:tc>
          <w:tcPr>
            <w:tcW w:w="2430" w:type="dxa"/>
          </w:tcPr>
          <w:p w14:paraId="03137A91" w14:textId="5A72D118" w:rsidR="00F85302" w:rsidRDefault="00F85302" w:rsidP="00B20EF1">
            <w:pPr>
              <w:jc w:val="center"/>
              <w:rPr>
                <w:rFonts w:ascii="Times New Roman" w:hAnsi="Times New Roman" w:cs="Times New Roman"/>
                <w:bCs/>
                <w:i/>
                <w:iCs/>
                <w:color w:val="A6A6A6" w:themeColor="background1" w:themeShade="A6"/>
              </w:rPr>
            </w:pP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10</w:t>
            </w: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/</w:t>
            </w:r>
            <w:r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05/</w:t>
            </w:r>
            <w:r w:rsidRPr="000140A0">
              <w:rPr>
                <w:rFonts w:ascii="Times New Roman" w:hAnsi="Times New Roman" w:cs="Times New Roman"/>
                <w:bCs/>
                <w:color w:val="A6A6A6" w:themeColor="background1" w:themeShade="A6"/>
              </w:rPr>
              <w:t>2022 @ 9:45am</w:t>
            </w:r>
          </w:p>
        </w:tc>
      </w:tr>
      <w:tr w:rsidR="00F85302" w14:paraId="1E7533D2" w14:textId="77777777" w:rsidTr="00F85302">
        <w:tc>
          <w:tcPr>
            <w:tcW w:w="1615" w:type="dxa"/>
          </w:tcPr>
          <w:p w14:paraId="633735FF" w14:textId="0CAFBE33" w:rsidR="00F85302" w:rsidRPr="00B20EF1" w:rsidRDefault="00F85302" w:rsidP="00B20EF1">
            <w:pPr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B20EF1">
              <w:rPr>
                <w:rFonts w:ascii="Times New Roman" w:hAnsi="Times New Roman" w:cs="Times New Roman"/>
                <w:bCs/>
              </w:rPr>
              <w:t>Portfolio Value</w:t>
            </w:r>
          </w:p>
        </w:tc>
        <w:tc>
          <w:tcPr>
            <w:tcW w:w="1260" w:type="dxa"/>
          </w:tcPr>
          <w:p w14:paraId="13CA91AE" w14:textId="56EFCA36" w:rsidR="00F85302" w:rsidRPr="00B20EF1" w:rsidRDefault="00F85302" w:rsidP="00B20EF1">
            <w:pPr>
              <w:jc w:val="center"/>
              <w:rPr>
                <w:rFonts w:ascii="Times New Roman" w:hAnsi="Times New Roman" w:cs="Times New Roman"/>
                <w:bCs/>
                <w:color w:val="A6A6A6" w:themeColor="background1" w:themeShade="A6"/>
              </w:rPr>
            </w:pPr>
            <w:r w:rsidRPr="00B20EF1">
              <w:rPr>
                <w:rFonts w:ascii="Times New Roman" w:hAnsi="Times New Roman" w:cs="Times New Roman"/>
                <w:bCs/>
              </w:rPr>
              <w:t>$250,000</w:t>
            </w:r>
          </w:p>
        </w:tc>
        <w:tc>
          <w:tcPr>
            <w:tcW w:w="1440" w:type="dxa"/>
          </w:tcPr>
          <w:p w14:paraId="5D437F99" w14:textId="19D22A62" w:rsidR="00F85302" w:rsidRPr="008C4D8A" w:rsidRDefault="00F85302" w:rsidP="00B20EF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350" w:type="dxa"/>
          </w:tcPr>
          <w:p w14:paraId="581F6BC6" w14:textId="2DAB25B4" w:rsidR="00F85302" w:rsidRPr="008C4D8A" w:rsidRDefault="00F85302" w:rsidP="00B20EF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1440" w:type="dxa"/>
          </w:tcPr>
          <w:p w14:paraId="248B55A9" w14:textId="628F4732" w:rsidR="00F85302" w:rsidRPr="008C4D8A" w:rsidRDefault="00F85302" w:rsidP="00B20EF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  <w:tc>
          <w:tcPr>
            <w:tcW w:w="2430" w:type="dxa"/>
          </w:tcPr>
          <w:p w14:paraId="6BA11A27" w14:textId="10F6AE74" w:rsidR="00F85302" w:rsidRPr="008C4D8A" w:rsidRDefault="00F85302" w:rsidP="00B20EF1">
            <w:pPr>
              <w:jc w:val="center"/>
              <w:rPr>
                <w:rFonts w:ascii="Times New Roman" w:hAnsi="Times New Roman" w:cs="Times New Roman"/>
                <w:bCs/>
                <w:iCs/>
              </w:rPr>
            </w:pPr>
          </w:p>
        </w:tc>
      </w:tr>
    </w:tbl>
    <w:p w14:paraId="11391675" w14:textId="77777777" w:rsidR="00987618" w:rsidRDefault="00987618" w:rsidP="00B51C1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</w:p>
    <w:p w14:paraId="28A3ADBD" w14:textId="537A2DBA" w:rsidR="00B51C18" w:rsidRPr="00FD06EA" w:rsidRDefault="00B51C18" w:rsidP="00B51C18">
      <w:pPr>
        <w:pBdr>
          <w:bottom w:val="single" w:sz="4" w:space="1" w:color="auto"/>
        </w:pBdr>
        <w:jc w:val="both"/>
        <w:rPr>
          <w:rFonts w:ascii="Times New Roman" w:hAnsi="Times New Roman" w:cs="Times New Roman"/>
          <w:b/>
          <w:smallCaps/>
          <w:color w:val="990000"/>
          <w:sz w:val="32"/>
        </w:rPr>
      </w:pPr>
      <w:r>
        <w:rPr>
          <w:rFonts w:ascii="Times New Roman" w:hAnsi="Times New Roman" w:cs="Times New Roman"/>
          <w:b/>
          <w:smallCaps/>
          <w:color w:val="990000"/>
          <w:sz w:val="32"/>
        </w:rPr>
        <w:t>Open Trading</w:t>
      </w:r>
    </w:p>
    <w:p w14:paraId="2BE5B70F" w14:textId="77777777" w:rsidR="00875D61" w:rsidRDefault="00B51C18" w:rsidP="0007178F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For the remainder of the semester, you are </w:t>
      </w:r>
      <w:r w:rsidRPr="00026F92">
        <w:rPr>
          <w:rFonts w:ascii="Times New Roman" w:hAnsi="Times New Roman" w:cs="Times New Roman"/>
          <w:bCs/>
          <w:i/>
          <w:iCs/>
          <w:sz w:val="24"/>
          <w:szCs w:val="24"/>
        </w:rPr>
        <w:t>free to trade as you wish</w:t>
      </w:r>
      <w:r>
        <w:rPr>
          <w:rFonts w:ascii="Times New Roman" w:hAnsi="Times New Roman" w:cs="Times New Roman"/>
          <w:bCs/>
          <w:sz w:val="24"/>
          <w:szCs w:val="24"/>
        </w:rPr>
        <w:t xml:space="preserve"> under </w:t>
      </w:r>
      <w:r w:rsidR="00875D61">
        <w:rPr>
          <w:rFonts w:ascii="Times New Roman" w:hAnsi="Times New Roman" w:cs="Times New Roman"/>
          <w:bCs/>
          <w:sz w:val="24"/>
          <w:szCs w:val="24"/>
        </w:rPr>
        <w:t>two</w:t>
      </w:r>
      <w:r w:rsidR="00D46A41">
        <w:rPr>
          <w:rFonts w:ascii="Times New Roman" w:hAnsi="Times New Roman" w:cs="Times New Roman"/>
          <w:bCs/>
          <w:sz w:val="24"/>
          <w:szCs w:val="24"/>
        </w:rPr>
        <w:t xml:space="preserve"> condition</w:t>
      </w:r>
      <w:r w:rsidR="00875D61">
        <w:rPr>
          <w:rFonts w:ascii="Times New Roman" w:hAnsi="Times New Roman" w:cs="Times New Roman"/>
          <w:bCs/>
          <w:sz w:val="24"/>
          <w:szCs w:val="24"/>
        </w:rPr>
        <w:t>s:</w:t>
      </w:r>
      <w:r w:rsidR="00D46A4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50FC9536" w14:textId="1663542E" w:rsidR="00636469" w:rsidRPr="00875D61" w:rsidRDefault="00D46A41" w:rsidP="00875D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75D61">
        <w:rPr>
          <w:rFonts w:ascii="Times New Roman" w:hAnsi="Times New Roman" w:cs="Times New Roman"/>
          <w:bCs/>
          <w:sz w:val="24"/>
          <w:szCs w:val="24"/>
        </w:rPr>
        <w:t>you do not sell your first 6 stocks.</w:t>
      </w:r>
    </w:p>
    <w:p w14:paraId="7BA119B6" w14:textId="66295980" w:rsidR="00875D61" w:rsidRPr="0066704D" w:rsidRDefault="00875D61" w:rsidP="00875D61">
      <w:pPr>
        <w:pStyle w:val="ListParagraph"/>
        <w:numPr>
          <w:ilvl w:val="0"/>
          <w:numId w:val="1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6704D">
        <w:rPr>
          <w:rFonts w:ascii="Times New Roman" w:hAnsi="Times New Roman" w:cs="Times New Roman"/>
          <w:b/>
          <w:bCs/>
          <w:sz w:val="24"/>
          <w:szCs w:val="24"/>
        </w:rPr>
        <w:t xml:space="preserve">you buy/short at least </w:t>
      </w:r>
      <w:r w:rsidRPr="0066704D">
        <w:rPr>
          <w:rFonts w:ascii="Times New Roman" w:hAnsi="Times New Roman" w:cs="Times New Roman"/>
          <w:b/>
          <w:bCs/>
          <w:i/>
          <w:iCs/>
          <w:sz w:val="24"/>
          <w:szCs w:val="24"/>
        </w:rPr>
        <w:t>one</w:t>
      </w:r>
      <w:r w:rsidRPr="0066704D">
        <w:rPr>
          <w:rFonts w:ascii="Times New Roman" w:hAnsi="Times New Roman" w:cs="Times New Roman"/>
          <w:b/>
          <w:bCs/>
          <w:sz w:val="24"/>
          <w:szCs w:val="24"/>
        </w:rPr>
        <w:t xml:space="preserve"> company 24 hours before its earnings release</w:t>
      </w:r>
      <w:r w:rsidR="001B1B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B26AD" w:rsidRPr="0066704D">
        <w:rPr>
          <w:rFonts w:ascii="Times New Roman" w:hAnsi="Times New Roman" w:cs="Times New Roman"/>
          <w:b/>
          <w:bCs/>
          <w:sz w:val="24"/>
          <w:szCs w:val="24"/>
        </w:rPr>
        <w:t>(minimum $10,000)</w:t>
      </w:r>
    </w:p>
    <w:p w14:paraId="260CFFE0" w14:textId="77777777" w:rsidR="0066704D" w:rsidRDefault="0066704D" w:rsidP="00875D61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D4AF084" w14:textId="391CEF16" w:rsidR="00875D61" w:rsidRPr="00875D61" w:rsidRDefault="00875D61" w:rsidP="00875D6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The NASDAQ earnings announcement calendar is posted to the resources tab of my website. </w:t>
      </w:r>
    </w:p>
    <w:p w14:paraId="672B3DD1" w14:textId="410E6E66" w:rsidR="00ED6F40" w:rsidRDefault="000D5941" w:rsidP="000D5941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You can trade stocks, bonds, calls, puts, crypto, mutual funds, ETFs, fixed income, etc. </w:t>
      </w:r>
      <w:r w:rsidR="00C65C53">
        <w:rPr>
          <w:rFonts w:ascii="Times New Roman" w:hAnsi="Times New Roman" w:cs="Times New Roman"/>
          <w:bCs/>
          <w:sz w:val="24"/>
          <w:szCs w:val="24"/>
        </w:rPr>
        <w:t xml:space="preserve">You can day trade, short, use leverage, </w:t>
      </w:r>
      <w:r w:rsidR="00E51949">
        <w:rPr>
          <w:rFonts w:ascii="Times New Roman" w:hAnsi="Times New Roman" w:cs="Times New Roman"/>
          <w:bCs/>
          <w:sz w:val="24"/>
          <w:szCs w:val="24"/>
        </w:rPr>
        <w:t xml:space="preserve">set price contingent orders, </w:t>
      </w:r>
      <w:r w:rsidR="00C65C53">
        <w:rPr>
          <w:rFonts w:ascii="Times New Roman" w:hAnsi="Times New Roman" w:cs="Times New Roman"/>
          <w:bCs/>
          <w:sz w:val="24"/>
          <w:szCs w:val="24"/>
        </w:rPr>
        <w:t>or “buy and hold.” You can trade into and out of the same security as many time as you like and for</w:t>
      </w:r>
      <w:r w:rsidR="00E51949">
        <w:rPr>
          <w:rFonts w:ascii="Times New Roman" w:hAnsi="Times New Roman" w:cs="Times New Roman"/>
          <w:bCs/>
          <w:sz w:val="24"/>
          <w:szCs w:val="24"/>
        </w:rPr>
        <w:t xml:space="preserve"> periods less than a day.</w:t>
      </w:r>
      <w:r w:rsidR="00C65C5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14:paraId="235CC5CC" w14:textId="77777777" w:rsidR="0066704D" w:rsidRDefault="0066704D" w:rsidP="000710A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335FFAA" w14:textId="5410CB86" w:rsidR="000710A2" w:rsidRDefault="000710A2" w:rsidP="000710A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8270F1">
        <w:rPr>
          <w:rFonts w:ascii="Times New Roman" w:hAnsi="Times New Roman" w:cs="Times New Roman"/>
          <w:bCs/>
          <w:sz w:val="24"/>
          <w:szCs w:val="24"/>
        </w:rPr>
        <w:t>n the space below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3B6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 xml:space="preserve">in </w:t>
      </w:r>
      <w:r w:rsidRPr="009B3B66">
        <w:rPr>
          <w:rFonts w:ascii="Times New Roman" w:hAnsi="Times New Roman" w:cs="Times New Roman"/>
          <w:bCs/>
          <w:sz w:val="24"/>
          <w:szCs w:val="24"/>
        </w:rPr>
        <w:t>no more than 150 words total)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14:paraId="4688A93C" w14:textId="754ED8A5" w:rsidR="000710A2" w:rsidRPr="001445AA" w:rsidRDefault="000710A2" w:rsidP="000710A2">
      <w:pPr>
        <w:pStyle w:val="ListParagraph"/>
        <w:numPr>
          <w:ilvl w:val="0"/>
          <w:numId w:val="11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Explain what market developments, news, economic reports, etc. you plan to follow as you continue to </w:t>
      </w:r>
      <w:r w:rsidR="0021240D">
        <w:rPr>
          <w:rFonts w:ascii="Times New Roman" w:hAnsi="Times New Roman" w:cs="Times New Roman"/>
          <w:bCs/>
          <w:sz w:val="24"/>
          <w:szCs w:val="24"/>
        </w:rPr>
        <w:t>monitor your portfolio</w:t>
      </w:r>
      <w:r>
        <w:rPr>
          <w:rFonts w:ascii="Times New Roman" w:hAnsi="Times New Roman" w:cs="Times New Roman"/>
          <w:bCs/>
          <w:sz w:val="24"/>
          <w:szCs w:val="24"/>
        </w:rPr>
        <w:t xml:space="preserve"> this semester. </w:t>
      </w:r>
    </w:p>
    <w:p w14:paraId="03D13512" w14:textId="77777777" w:rsidR="000710A2" w:rsidRPr="00D00A01" w:rsidRDefault="000710A2" w:rsidP="000710A2">
      <w:pPr>
        <w:pStyle w:val="ListParagraph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3B2F1B" wp14:editId="038ACB52">
                <wp:simplePos x="0" y="0"/>
                <wp:positionH relativeFrom="column">
                  <wp:posOffset>54591</wp:posOffset>
                </wp:positionH>
                <wp:positionV relativeFrom="paragraph">
                  <wp:posOffset>256625</wp:posOffset>
                </wp:positionV>
                <wp:extent cx="5929630" cy="2353945"/>
                <wp:effectExtent l="0" t="0" r="13970" b="2730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9630" cy="2353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151121" w14:textId="0888450C" w:rsidR="000710A2" w:rsidRDefault="000710A2" w:rsidP="000710A2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3B2F1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.3pt;margin-top:20.2pt;width:466.9pt;height:185.3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" filled="f">
                <v:textbox>
                  <w:txbxContent>
                    <w:p w14:paraId="1A151121" w14:textId="0888450C" w:rsidR="000710A2" w:rsidRDefault="000710A2" w:rsidP="000710A2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0710A2" w:rsidRPr="00FC34A1" w14:paraId="6A747F0E" w14:textId="77777777" w:rsidTr="002A3A5B">
        <w:tc>
          <w:tcPr>
            <w:tcW w:w="9350" w:type="dxa"/>
            <w:tcBorders>
              <w:top w:val="nil"/>
              <w:left w:val="nil"/>
              <w:bottom w:val="nil"/>
              <w:right w:val="nil"/>
            </w:tcBorders>
          </w:tcPr>
          <w:p w14:paraId="0BEDB7F4" w14:textId="76FFF2C1" w:rsidR="000710A2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9B6B8E6" w14:textId="3D7E6707" w:rsidR="000710A2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1E01E4E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DF76C80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80A665C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620594A3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B241A6B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3162F40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051F5C75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1F2A9C72" w14:textId="77777777" w:rsidR="000710A2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40C084C4" w14:textId="77777777" w:rsidR="000710A2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4B2291C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31DFE77F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5C0C22F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  <w:p w14:paraId="7EE6771D" w14:textId="77777777" w:rsidR="000710A2" w:rsidRPr="00FC34A1" w:rsidRDefault="000710A2" w:rsidP="002A3A5B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14:paraId="4D135EE0" w14:textId="4F24B0A9" w:rsidR="000710A2" w:rsidRPr="000710A2" w:rsidRDefault="000710A2" w:rsidP="000710A2">
      <w:pPr>
        <w:pStyle w:val="Footer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A28F7">
        <w:rPr>
          <w:rFonts w:ascii="Times New Roman" w:hAnsi="Times New Roman" w:cs="Times New Roman"/>
          <w:i/>
          <w:iCs/>
          <w:sz w:val="20"/>
          <w:szCs w:val="20"/>
        </w:rPr>
        <w:t xml:space="preserve">Submit according to the instructions provided in class. </w:t>
      </w:r>
      <w:r>
        <w:rPr>
          <w:rFonts w:ascii="Times New Roman" w:hAnsi="Times New Roman" w:cs="Times New Roman"/>
          <w:i/>
          <w:iCs/>
          <w:sz w:val="20"/>
          <w:szCs w:val="20"/>
        </w:rPr>
        <w:t>Grades will be provided after all Trading Assignments are completed near the end of the semester.</w:t>
      </w:r>
    </w:p>
    <w:sectPr w:rsidR="000710A2" w:rsidRPr="000710A2" w:rsidSect="0021240D">
      <w:headerReference w:type="first" r:id="rId10"/>
      <w:type w:val="continuous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C97E8" w14:textId="77777777" w:rsidR="00553BEE" w:rsidRDefault="00553BEE" w:rsidP="009569D3">
      <w:pPr>
        <w:spacing w:after="0" w:line="240" w:lineRule="auto"/>
      </w:pPr>
      <w:r>
        <w:separator/>
      </w:r>
    </w:p>
  </w:endnote>
  <w:endnote w:type="continuationSeparator" w:id="0">
    <w:p w14:paraId="280868B8" w14:textId="77777777" w:rsidR="00553BEE" w:rsidRDefault="00553BEE" w:rsidP="009569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E6F73" w14:textId="77777777" w:rsidR="00553BEE" w:rsidRDefault="00553BEE" w:rsidP="009569D3">
      <w:pPr>
        <w:spacing w:after="0" w:line="240" w:lineRule="auto"/>
      </w:pPr>
      <w:r>
        <w:separator/>
      </w:r>
    </w:p>
  </w:footnote>
  <w:footnote w:type="continuationSeparator" w:id="0">
    <w:p w14:paraId="1B19864C" w14:textId="77777777" w:rsidR="00553BEE" w:rsidRDefault="00553BEE" w:rsidP="009569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7F016" w14:textId="03D05E74" w:rsidR="0021240D" w:rsidRPr="0021240D" w:rsidRDefault="0021240D">
    <w:pPr>
      <w:pStyle w:val="Header"/>
      <w:rPr>
        <w:rFonts w:ascii="Arial" w:hAnsi="Arial" w:cs="Arial"/>
      </w:rPr>
    </w:pPr>
    <w:r w:rsidRPr="0021240D">
      <w:rPr>
        <w:rFonts w:ascii="Arial" w:hAnsi="Arial" w:cs="Arial"/>
      </w:rPr>
      <w:t>Name: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81776"/>
    <w:multiLevelType w:val="hybridMultilevel"/>
    <w:tmpl w:val="696CD1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2C2FB5"/>
    <w:multiLevelType w:val="hybridMultilevel"/>
    <w:tmpl w:val="D0828B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7A10CB"/>
    <w:multiLevelType w:val="hybridMultilevel"/>
    <w:tmpl w:val="001230B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827063"/>
    <w:multiLevelType w:val="hybridMultilevel"/>
    <w:tmpl w:val="96C4484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99E6E09"/>
    <w:multiLevelType w:val="hybridMultilevel"/>
    <w:tmpl w:val="90BC2514"/>
    <w:lvl w:ilvl="0" w:tplc="91E8F30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47D23"/>
    <w:multiLevelType w:val="hybridMultilevel"/>
    <w:tmpl w:val="EE4C6A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384D41"/>
    <w:multiLevelType w:val="hybridMultilevel"/>
    <w:tmpl w:val="3AC4C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C00070"/>
    <w:multiLevelType w:val="hybridMultilevel"/>
    <w:tmpl w:val="773253DE"/>
    <w:lvl w:ilvl="0" w:tplc="04220B4A">
      <w:numFmt w:val="decimal"/>
      <w:lvlText w:val="%1.)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A7A47"/>
    <w:multiLevelType w:val="hybridMultilevel"/>
    <w:tmpl w:val="9B1AC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F5328D"/>
    <w:multiLevelType w:val="hybridMultilevel"/>
    <w:tmpl w:val="FDF8D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95210B"/>
    <w:multiLevelType w:val="hybridMultilevel"/>
    <w:tmpl w:val="EB300D3C"/>
    <w:lvl w:ilvl="0" w:tplc="07603F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0E29DB"/>
    <w:multiLevelType w:val="hybridMultilevel"/>
    <w:tmpl w:val="BD34F73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40677">
    <w:abstractNumId w:val="1"/>
  </w:num>
  <w:num w:numId="2" w16cid:durableId="972491285">
    <w:abstractNumId w:val="6"/>
  </w:num>
  <w:num w:numId="3" w16cid:durableId="1659839412">
    <w:abstractNumId w:val="8"/>
  </w:num>
  <w:num w:numId="4" w16cid:durableId="409351602">
    <w:abstractNumId w:val="3"/>
  </w:num>
  <w:num w:numId="5" w16cid:durableId="818034402">
    <w:abstractNumId w:val="4"/>
  </w:num>
  <w:num w:numId="6" w16cid:durableId="40516741">
    <w:abstractNumId w:val="10"/>
  </w:num>
  <w:num w:numId="7" w16cid:durableId="1003510990">
    <w:abstractNumId w:val="11"/>
  </w:num>
  <w:num w:numId="8" w16cid:durableId="886375082">
    <w:abstractNumId w:val="2"/>
  </w:num>
  <w:num w:numId="9" w16cid:durableId="477497174">
    <w:abstractNumId w:val="0"/>
  </w:num>
  <w:num w:numId="10" w16cid:durableId="1431312694">
    <w:abstractNumId w:val="7"/>
  </w:num>
  <w:num w:numId="11" w16cid:durableId="1772966652">
    <w:abstractNumId w:val="5"/>
  </w:num>
  <w:num w:numId="12" w16cid:durableId="132909040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E2D"/>
    <w:rsid w:val="00003AD7"/>
    <w:rsid w:val="000065AC"/>
    <w:rsid w:val="00026F92"/>
    <w:rsid w:val="00027FD0"/>
    <w:rsid w:val="00043CED"/>
    <w:rsid w:val="00044A39"/>
    <w:rsid w:val="00046281"/>
    <w:rsid w:val="00060935"/>
    <w:rsid w:val="00064B3A"/>
    <w:rsid w:val="000710A2"/>
    <w:rsid w:val="0007178F"/>
    <w:rsid w:val="0007253A"/>
    <w:rsid w:val="000750D7"/>
    <w:rsid w:val="00075BB5"/>
    <w:rsid w:val="000815F6"/>
    <w:rsid w:val="00084D79"/>
    <w:rsid w:val="00094BF2"/>
    <w:rsid w:val="000B1EBA"/>
    <w:rsid w:val="000C5454"/>
    <w:rsid w:val="000D24B0"/>
    <w:rsid w:val="000D48FC"/>
    <w:rsid w:val="000D5941"/>
    <w:rsid w:val="000E2CF9"/>
    <w:rsid w:val="000E3F7B"/>
    <w:rsid w:val="000F7ECE"/>
    <w:rsid w:val="00100E2D"/>
    <w:rsid w:val="001031BC"/>
    <w:rsid w:val="001100C4"/>
    <w:rsid w:val="001217C7"/>
    <w:rsid w:val="0013572C"/>
    <w:rsid w:val="00136E53"/>
    <w:rsid w:val="00141013"/>
    <w:rsid w:val="001425D4"/>
    <w:rsid w:val="001445AA"/>
    <w:rsid w:val="0014601C"/>
    <w:rsid w:val="00146A2A"/>
    <w:rsid w:val="00156F12"/>
    <w:rsid w:val="00157C6F"/>
    <w:rsid w:val="0016289C"/>
    <w:rsid w:val="00166CF5"/>
    <w:rsid w:val="001700CD"/>
    <w:rsid w:val="00181A75"/>
    <w:rsid w:val="001912B0"/>
    <w:rsid w:val="00194C16"/>
    <w:rsid w:val="001A170F"/>
    <w:rsid w:val="001A74FB"/>
    <w:rsid w:val="001B0F86"/>
    <w:rsid w:val="001B1B3A"/>
    <w:rsid w:val="001D50AA"/>
    <w:rsid w:val="001E0084"/>
    <w:rsid w:val="001E0546"/>
    <w:rsid w:val="001E0BB3"/>
    <w:rsid w:val="001E197B"/>
    <w:rsid w:val="001E4C56"/>
    <w:rsid w:val="001F16A0"/>
    <w:rsid w:val="001F2297"/>
    <w:rsid w:val="001F789B"/>
    <w:rsid w:val="0020128B"/>
    <w:rsid w:val="00201BF9"/>
    <w:rsid w:val="0021240D"/>
    <w:rsid w:val="0022403C"/>
    <w:rsid w:val="002272F7"/>
    <w:rsid w:val="0023634B"/>
    <w:rsid w:val="00256FC5"/>
    <w:rsid w:val="002624D0"/>
    <w:rsid w:val="0026341C"/>
    <w:rsid w:val="002724DB"/>
    <w:rsid w:val="00284CB4"/>
    <w:rsid w:val="00291488"/>
    <w:rsid w:val="002A2C64"/>
    <w:rsid w:val="002B0743"/>
    <w:rsid w:val="002B33E3"/>
    <w:rsid w:val="002B33E6"/>
    <w:rsid w:val="002C35B0"/>
    <w:rsid w:val="002C7609"/>
    <w:rsid w:val="002D1840"/>
    <w:rsid w:val="002D68AC"/>
    <w:rsid w:val="002E4780"/>
    <w:rsid w:val="002F3681"/>
    <w:rsid w:val="002F578A"/>
    <w:rsid w:val="0030031C"/>
    <w:rsid w:val="003011F3"/>
    <w:rsid w:val="00303CAE"/>
    <w:rsid w:val="00304B7E"/>
    <w:rsid w:val="00305B2D"/>
    <w:rsid w:val="00312684"/>
    <w:rsid w:val="0033748A"/>
    <w:rsid w:val="00342AA7"/>
    <w:rsid w:val="00344F54"/>
    <w:rsid w:val="0034762B"/>
    <w:rsid w:val="003671E9"/>
    <w:rsid w:val="00372F24"/>
    <w:rsid w:val="003757DB"/>
    <w:rsid w:val="00385692"/>
    <w:rsid w:val="0039670D"/>
    <w:rsid w:val="003A1787"/>
    <w:rsid w:val="003B566F"/>
    <w:rsid w:val="003B6C1F"/>
    <w:rsid w:val="003C0AB5"/>
    <w:rsid w:val="003D1396"/>
    <w:rsid w:val="003D203D"/>
    <w:rsid w:val="003D26DB"/>
    <w:rsid w:val="003F1D04"/>
    <w:rsid w:val="003F7C48"/>
    <w:rsid w:val="00400DB5"/>
    <w:rsid w:val="00402E51"/>
    <w:rsid w:val="00410D35"/>
    <w:rsid w:val="004244DC"/>
    <w:rsid w:val="00427ADB"/>
    <w:rsid w:val="00432F14"/>
    <w:rsid w:val="004339E3"/>
    <w:rsid w:val="00434921"/>
    <w:rsid w:val="00434C7D"/>
    <w:rsid w:val="00451DCF"/>
    <w:rsid w:val="00457546"/>
    <w:rsid w:val="00472C52"/>
    <w:rsid w:val="004730B2"/>
    <w:rsid w:val="004759F9"/>
    <w:rsid w:val="004772FB"/>
    <w:rsid w:val="00485283"/>
    <w:rsid w:val="00490E35"/>
    <w:rsid w:val="004937F4"/>
    <w:rsid w:val="004A61E3"/>
    <w:rsid w:val="004B46CD"/>
    <w:rsid w:val="004B690D"/>
    <w:rsid w:val="004B6E9B"/>
    <w:rsid w:val="004D0FA6"/>
    <w:rsid w:val="004D2148"/>
    <w:rsid w:val="004D2CDB"/>
    <w:rsid w:val="004F0CB3"/>
    <w:rsid w:val="004F28CA"/>
    <w:rsid w:val="004F2DC9"/>
    <w:rsid w:val="004F4DC4"/>
    <w:rsid w:val="0051569D"/>
    <w:rsid w:val="00521F1E"/>
    <w:rsid w:val="00525F31"/>
    <w:rsid w:val="00531ECC"/>
    <w:rsid w:val="0055388E"/>
    <w:rsid w:val="00553BEE"/>
    <w:rsid w:val="0055540C"/>
    <w:rsid w:val="005558C2"/>
    <w:rsid w:val="005578BF"/>
    <w:rsid w:val="005579BC"/>
    <w:rsid w:val="00567D1A"/>
    <w:rsid w:val="00574162"/>
    <w:rsid w:val="00574D8E"/>
    <w:rsid w:val="00586BB9"/>
    <w:rsid w:val="00592529"/>
    <w:rsid w:val="005C6618"/>
    <w:rsid w:val="005D64E9"/>
    <w:rsid w:val="005E0925"/>
    <w:rsid w:val="005E1BCB"/>
    <w:rsid w:val="005E4E8F"/>
    <w:rsid w:val="006069CF"/>
    <w:rsid w:val="00611EA5"/>
    <w:rsid w:val="006139A5"/>
    <w:rsid w:val="00622FDB"/>
    <w:rsid w:val="00623C20"/>
    <w:rsid w:val="00626BE4"/>
    <w:rsid w:val="00627904"/>
    <w:rsid w:val="0063291D"/>
    <w:rsid w:val="00633B70"/>
    <w:rsid w:val="00636469"/>
    <w:rsid w:val="00640F32"/>
    <w:rsid w:val="0066034B"/>
    <w:rsid w:val="00661589"/>
    <w:rsid w:val="0066274A"/>
    <w:rsid w:val="00665A6B"/>
    <w:rsid w:val="0066704D"/>
    <w:rsid w:val="00672794"/>
    <w:rsid w:val="00683ECE"/>
    <w:rsid w:val="006872E9"/>
    <w:rsid w:val="00695804"/>
    <w:rsid w:val="006A1BD0"/>
    <w:rsid w:val="006B26AD"/>
    <w:rsid w:val="006C1880"/>
    <w:rsid w:val="006E505D"/>
    <w:rsid w:val="006F6F74"/>
    <w:rsid w:val="007049AD"/>
    <w:rsid w:val="00715727"/>
    <w:rsid w:val="00715F28"/>
    <w:rsid w:val="0072321B"/>
    <w:rsid w:val="007237FE"/>
    <w:rsid w:val="00732949"/>
    <w:rsid w:val="0073567F"/>
    <w:rsid w:val="00741911"/>
    <w:rsid w:val="00751A3F"/>
    <w:rsid w:val="007524DA"/>
    <w:rsid w:val="00754BBB"/>
    <w:rsid w:val="00755026"/>
    <w:rsid w:val="00767376"/>
    <w:rsid w:val="00771440"/>
    <w:rsid w:val="00781157"/>
    <w:rsid w:val="00782F1E"/>
    <w:rsid w:val="00783F87"/>
    <w:rsid w:val="007907CB"/>
    <w:rsid w:val="007908D8"/>
    <w:rsid w:val="007A3B9F"/>
    <w:rsid w:val="007A6CAA"/>
    <w:rsid w:val="007B7EB3"/>
    <w:rsid w:val="007F0CFE"/>
    <w:rsid w:val="00803623"/>
    <w:rsid w:val="00804102"/>
    <w:rsid w:val="00806B23"/>
    <w:rsid w:val="00815ABF"/>
    <w:rsid w:val="0081654F"/>
    <w:rsid w:val="00816A84"/>
    <w:rsid w:val="00823459"/>
    <w:rsid w:val="00823F93"/>
    <w:rsid w:val="008270F1"/>
    <w:rsid w:val="0083488F"/>
    <w:rsid w:val="00835281"/>
    <w:rsid w:val="00840EBE"/>
    <w:rsid w:val="00856950"/>
    <w:rsid w:val="008606DA"/>
    <w:rsid w:val="00860F60"/>
    <w:rsid w:val="00866272"/>
    <w:rsid w:val="00871FAB"/>
    <w:rsid w:val="00875D61"/>
    <w:rsid w:val="00893744"/>
    <w:rsid w:val="00893BAD"/>
    <w:rsid w:val="008A278A"/>
    <w:rsid w:val="008A485A"/>
    <w:rsid w:val="008A6F48"/>
    <w:rsid w:val="008B3757"/>
    <w:rsid w:val="008B5223"/>
    <w:rsid w:val="008C2C35"/>
    <w:rsid w:val="008C4D8A"/>
    <w:rsid w:val="008D5295"/>
    <w:rsid w:val="008D54CB"/>
    <w:rsid w:val="008D69C3"/>
    <w:rsid w:val="008E117E"/>
    <w:rsid w:val="008E4403"/>
    <w:rsid w:val="008E7B5D"/>
    <w:rsid w:val="008F4591"/>
    <w:rsid w:val="008F6CCD"/>
    <w:rsid w:val="00910421"/>
    <w:rsid w:val="00912B1F"/>
    <w:rsid w:val="00913E3F"/>
    <w:rsid w:val="00925D9A"/>
    <w:rsid w:val="009266DD"/>
    <w:rsid w:val="00927A70"/>
    <w:rsid w:val="00941B66"/>
    <w:rsid w:val="009472FE"/>
    <w:rsid w:val="00952C16"/>
    <w:rsid w:val="00954718"/>
    <w:rsid w:val="009569D3"/>
    <w:rsid w:val="009621AA"/>
    <w:rsid w:val="00963D24"/>
    <w:rsid w:val="009645C9"/>
    <w:rsid w:val="00965E59"/>
    <w:rsid w:val="00970E08"/>
    <w:rsid w:val="00981D02"/>
    <w:rsid w:val="00983EE3"/>
    <w:rsid w:val="00984CD7"/>
    <w:rsid w:val="00987618"/>
    <w:rsid w:val="009921EE"/>
    <w:rsid w:val="00995CEB"/>
    <w:rsid w:val="009A462E"/>
    <w:rsid w:val="009B11CB"/>
    <w:rsid w:val="009B2E66"/>
    <w:rsid w:val="009B3B66"/>
    <w:rsid w:val="009C4434"/>
    <w:rsid w:val="009C4DAA"/>
    <w:rsid w:val="009F1431"/>
    <w:rsid w:val="00A0653C"/>
    <w:rsid w:val="00A23F2B"/>
    <w:rsid w:val="00A32E04"/>
    <w:rsid w:val="00A3666E"/>
    <w:rsid w:val="00A37924"/>
    <w:rsid w:val="00A4504B"/>
    <w:rsid w:val="00A602B8"/>
    <w:rsid w:val="00A61288"/>
    <w:rsid w:val="00A645B7"/>
    <w:rsid w:val="00A70D74"/>
    <w:rsid w:val="00A7170D"/>
    <w:rsid w:val="00A7211B"/>
    <w:rsid w:val="00A75838"/>
    <w:rsid w:val="00A760E6"/>
    <w:rsid w:val="00A93A33"/>
    <w:rsid w:val="00AB32E9"/>
    <w:rsid w:val="00AB59B9"/>
    <w:rsid w:val="00AD37C7"/>
    <w:rsid w:val="00AE10A6"/>
    <w:rsid w:val="00AF5BA4"/>
    <w:rsid w:val="00B11D27"/>
    <w:rsid w:val="00B1676F"/>
    <w:rsid w:val="00B20EF1"/>
    <w:rsid w:val="00B23816"/>
    <w:rsid w:val="00B42F3F"/>
    <w:rsid w:val="00B4407A"/>
    <w:rsid w:val="00B51661"/>
    <w:rsid w:val="00B51C18"/>
    <w:rsid w:val="00B53401"/>
    <w:rsid w:val="00B56316"/>
    <w:rsid w:val="00B7387C"/>
    <w:rsid w:val="00B75E9F"/>
    <w:rsid w:val="00B963D2"/>
    <w:rsid w:val="00BB2EF0"/>
    <w:rsid w:val="00BB2F0A"/>
    <w:rsid w:val="00BB3C69"/>
    <w:rsid w:val="00BB7EA2"/>
    <w:rsid w:val="00BD522A"/>
    <w:rsid w:val="00BE32D8"/>
    <w:rsid w:val="00BF4A91"/>
    <w:rsid w:val="00C0283D"/>
    <w:rsid w:val="00C02B48"/>
    <w:rsid w:val="00C041B6"/>
    <w:rsid w:val="00C41204"/>
    <w:rsid w:val="00C452D0"/>
    <w:rsid w:val="00C508C4"/>
    <w:rsid w:val="00C65C53"/>
    <w:rsid w:val="00C7088F"/>
    <w:rsid w:val="00C75848"/>
    <w:rsid w:val="00C8113D"/>
    <w:rsid w:val="00C822FA"/>
    <w:rsid w:val="00C8624B"/>
    <w:rsid w:val="00CA5DBA"/>
    <w:rsid w:val="00CB508D"/>
    <w:rsid w:val="00CC4EA6"/>
    <w:rsid w:val="00CE23E7"/>
    <w:rsid w:val="00CE2542"/>
    <w:rsid w:val="00CF2FF5"/>
    <w:rsid w:val="00CF3277"/>
    <w:rsid w:val="00D00A01"/>
    <w:rsid w:val="00D00A9B"/>
    <w:rsid w:val="00D30E1E"/>
    <w:rsid w:val="00D33040"/>
    <w:rsid w:val="00D45D3D"/>
    <w:rsid w:val="00D46A41"/>
    <w:rsid w:val="00D55EBA"/>
    <w:rsid w:val="00D60ADE"/>
    <w:rsid w:val="00D62D96"/>
    <w:rsid w:val="00D64D7F"/>
    <w:rsid w:val="00D75572"/>
    <w:rsid w:val="00D80E1F"/>
    <w:rsid w:val="00DA2073"/>
    <w:rsid w:val="00DA28F7"/>
    <w:rsid w:val="00DA4736"/>
    <w:rsid w:val="00DA53A0"/>
    <w:rsid w:val="00DA6071"/>
    <w:rsid w:val="00DA7DD4"/>
    <w:rsid w:val="00DB2148"/>
    <w:rsid w:val="00DB7585"/>
    <w:rsid w:val="00DD1962"/>
    <w:rsid w:val="00DD1D8B"/>
    <w:rsid w:val="00DD38ED"/>
    <w:rsid w:val="00DE0C8F"/>
    <w:rsid w:val="00DE1D8E"/>
    <w:rsid w:val="00DE4A2B"/>
    <w:rsid w:val="00DF4885"/>
    <w:rsid w:val="00DF58CB"/>
    <w:rsid w:val="00E20A36"/>
    <w:rsid w:val="00E25FB7"/>
    <w:rsid w:val="00E43D28"/>
    <w:rsid w:val="00E46D02"/>
    <w:rsid w:val="00E51949"/>
    <w:rsid w:val="00E558FD"/>
    <w:rsid w:val="00E613EF"/>
    <w:rsid w:val="00E723FC"/>
    <w:rsid w:val="00E73879"/>
    <w:rsid w:val="00E75180"/>
    <w:rsid w:val="00E75BA4"/>
    <w:rsid w:val="00E77EFB"/>
    <w:rsid w:val="00E82F6B"/>
    <w:rsid w:val="00E84A6D"/>
    <w:rsid w:val="00E925E9"/>
    <w:rsid w:val="00E95DD2"/>
    <w:rsid w:val="00EA022E"/>
    <w:rsid w:val="00EA5C4A"/>
    <w:rsid w:val="00EB0B40"/>
    <w:rsid w:val="00EB4E63"/>
    <w:rsid w:val="00ED6F40"/>
    <w:rsid w:val="00F05909"/>
    <w:rsid w:val="00F14339"/>
    <w:rsid w:val="00F22816"/>
    <w:rsid w:val="00F23B24"/>
    <w:rsid w:val="00F27F9D"/>
    <w:rsid w:val="00F328B4"/>
    <w:rsid w:val="00F3560C"/>
    <w:rsid w:val="00F369A7"/>
    <w:rsid w:val="00F37A2E"/>
    <w:rsid w:val="00F441E5"/>
    <w:rsid w:val="00F52668"/>
    <w:rsid w:val="00F56064"/>
    <w:rsid w:val="00F560C0"/>
    <w:rsid w:val="00F7112F"/>
    <w:rsid w:val="00F75DE8"/>
    <w:rsid w:val="00F85302"/>
    <w:rsid w:val="00F859A6"/>
    <w:rsid w:val="00F91B3A"/>
    <w:rsid w:val="00F92C3E"/>
    <w:rsid w:val="00FA0158"/>
    <w:rsid w:val="00FA38CD"/>
    <w:rsid w:val="00FA5066"/>
    <w:rsid w:val="00FC34A1"/>
    <w:rsid w:val="00FC4B03"/>
    <w:rsid w:val="00FD3D08"/>
    <w:rsid w:val="00FF40FF"/>
    <w:rsid w:val="00FF5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45A9BC"/>
  <w15:chartTrackingRefBased/>
  <w15:docId w15:val="{03F56248-3E20-48B6-9A0C-9DE643116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441E5"/>
    <w:pPr>
      <w:jc w:val="both"/>
      <w:outlineLvl w:val="0"/>
    </w:pPr>
    <w:rPr>
      <w:rFonts w:ascii="Times New Roman" w:hAnsi="Times New Roman" w:cs="Times New Roman"/>
      <w:b/>
      <w:i/>
      <w:smallCaps/>
      <w:color w:val="766D85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0E2D"/>
    <w:pPr>
      <w:ind w:left="720"/>
      <w:contextualSpacing/>
    </w:pPr>
  </w:style>
  <w:style w:type="table" w:styleId="TableGrid">
    <w:name w:val="Table Grid"/>
    <w:basedOn w:val="TableNormal"/>
    <w:uiPriority w:val="39"/>
    <w:rsid w:val="00F37A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69D3"/>
  </w:style>
  <w:style w:type="paragraph" w:styleId="Footer">
    <w:name w:val="footer"/>
    <w:basedOn w:val="Normal"/>
    <w:link w:val="FooterChar"/>
    <w:uiPriority w:val="99"/>
    <w:unhideWhenUsed/>
    <w:rsid w:val="009569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69D3"/>
  </w:style>
  <w:style w:type="character" w:styleId="Hyperlink">
    <w:name w:val="Hyperlink"/>
    <w:basedOn w:val="DefaultParagraphFont"/>
    <w:uiPriority w:val="99"/>
    <w:unhideWhenUsed/>
    <w:rsid w:val="00EA022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022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02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F441E5"/>
    <w:rPr>
      <w:rFonts w:ascii="Times New Roman" w:hAnsi="Times New Roman" w:cs="Times New Roman"/>
      <w:b/>
      <w:i/>
      <w:smallCaps/>
      <w:color w:val="766D85"/>
      <w:sz w:val="32"/>
    </w:rPr>
  </w:style>
  <w:style w:type="paragraph" w:styleId="Caption">
    <w:name w:val="caption"/>
    <w:basedOn w:val="Normal"/>
    <w:next w:val="Normal"/>
    <w:uiPriority w:val="35"/>
    <w:unhideWhenUsed/>
    <w:qFormat/>
    <w:rsid w:val="00DA53A0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E197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E197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E197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1E197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342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342AA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383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3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7C8168-B947-4830-866D-19DF2096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Richmond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Farizo, Joseph</dc:creator>
  <cp:keywords/>
  <dc:description/>
  <cp:lastModifiedBy>Joe Farizo</cp:lastModifiedBy>
  <cp:revision>42</cp:revision>
  <dcterms:created xsi:type="dcterms:W3CDTF">2022-06-11T16:30:00Z</dcterms:created>
  <dcterms:modified xsi:type="dcterms:W3CDTF">2022-10-07T22:59:00Z</dcterms:modified>
</cp:coreProperties>
</file>